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5944F" w14:textId="77777777" w:rsidR="00BD1A26" w:rsidRDefault="002E6CBD">
      <w:pPr>
        <w:spacing w:line="240" w:lineRule="exact"/>
        <w:rPr>
          <w:sz w:val="24"/>
          <w:szCs w:val="24"/>
        </w:rPr>
      </w:pPr>
      <w:bookmarkStart w:id="0" w:name="_page_300_0"/>
      <w:r>
        <w:rPr>
          <w:noProof/>
        </w:rPr>
        <w:drawing>
          <wp:anchor distT="0" distB="0" distL="114300" distR="114300" simplePos="0" relativeHeight="251653632" behindDoc="1" locked="0" layoutInCell="0" allowOverlap="1" wp14:anchorId="6B04B1E6" wp14:editId="4A0B9D41">
            <wp:simplePos x="0" y="0"/>
            <wp:positionH relativeFrom="page">
              <wp:posOffset>1386205</wp:posOffset>
            </wp:positionH>
            <wp:positionV relativeFrom="page">
              <wp:posOffset>57150</wp:posOffset>
            </wp:positionV>
            <wp:extent cx="5574030" cy="1034984"/>
            <wp:effectExtent l="0" t="0" r="0" b="0"/>
            <wp:wrapNone/>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5574030" cy="1034984"/>
                    </a:xfrm>
                    <a:prstGeom prst="rect">
                      <a:avLst/>
                    </a:prstGeom>
                    <a:noFill/>
                  </pic:spPr>
                </pic:pic>
              </a:graphicData>
            </a:graphic>
          </wp:anchor>
        </w:drawing>
      </w:r>
      <w:r>
        <w:rPr>
          <w:noProof/>
        </w:rPr>
        <mc:AlternateContent>
          <mc:Choice Requires="wps">
            <w:drawing>
              <wp:anchor distT="0" distB="0" distL="114300" distR="114300" simplePos="0" relativeHeight="251645440" behindDoc="1" locked="0" layoutInCell="0" allowOverlap="1" wp14:anchorId="13C17467" wp14:editId="7F9B4205">
                <wp:simplePos x="0" y="0"/>
                <wp:positionH relativeFrom="page">
                  <wp:posOffset>1143000</wp:posOffset>
                </wp:positionH>
                <wp:positionV relativeFrom="page">
                  <wp:posOffset>8196834</wp:posOffset>
                </wp:positionV>
                <wp:extent cx="1828800" cy="0"/>
                <wp:effectExtent l="0" t="0" r="0" b="0"/>
                <wp:wrapNone/>
                <wp:docPr id="3" name="drawingObject3"/>
                <wp:cNvGraphicFramePr/>
                <a:graphic xmlns:a="http://schemas.openxmlformats.org/drawingml/2006/main">
                  <a:graphicData uri="http://schemas.microsoft.com/office/word/2010/wordprocessingShape">
                    <wps:wsp>
                      <wps:cNvSpPr/>
                      <wps:spPr>
                        <a:xfrm>
                          <a:off x="0" y="0"/>
                          <a:ext cx="1828800" cy="0"/>
                        </a:xfrm>
                        <a:custGeom>
                          <a:avLst/>
                          <a:gdLst/>
                          <a:ahLst/>
                          <a:cxnLst/>
                          <a:rect l="0" t="0" r="0" b="0"/>
                          <a:pathLst>
                            <a:path w="1828800">
                              <a:moveTo>
                                <a:pt x="0" y="0"/>
                              </a:moveTo>
                              <a:lnTo>
                                <a:pt x="1828800" y="0"/>
                              </a:lnTo>
                            </a:path>
                          </a:pathLst>
                        </a:custGeom>
                        <a:noFill/>
                        <a:ln w="7621"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08149789" id="drawingObject3" o:spid="_x0000_s1026" style="position:absolute;margin-left:90pt;margin-top:645.4pt;width:2in;height:0;z-index:-251671040;visibility:visible;mso-wrap-style:square;mso-wrap-distance-left:9pt;mso-wrap-distance-top:0;mso-wrap-distance-right:9pt;mso-wrap-distance-bottom:0;mso-position-horizontal:absolute;mso-position-horizontal-relative:page;mso-position-vertical:absolute;mso-position-vertical-relative:page;v-text-anchor:top" coordsize="1828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SF8QEAAD8EAAAOAAAAZHJzL2Uyb0RvYy54bWysU01v3CAQvVfqf0Dcu/Za22RrrZ1DV6kq&#10;VU2kJD+AxbC2hBk0ENvbX9+B/XLTqoeqPuAHMwzvPYbN3dQbNij0HdiKLxc5Z8pKaDq7r/jL8/2H&#10;NWc+CNsIA1ZV/KA8v6vfv9uMrlQFtGAahYyKWF+OruJtCK7MMi9b1Qu/AKcsBTVgLwJNcZ81KEaq&#10;3pusyPObbARsHIJU3tPq9hjkdaqvtZLhQWuvAjMVJ24hjZjGXRyzeiPKPQrXdvJEQ/wDi150lg69&#10;lNqKINgrdr+V6juJ4EGHhYQ+A607qZIGUrPM36h5aoVTSQuZ493FJv//ysrvw5N7RLJhdL70BKOK&#10;SWMf/8SPTcmsw8UsNQUmaXG5LtbrnDyV51h23ShfffiiIBURwzcfjj43ZyTaM5KTPUOk2/rrPTkR&#10;4r7ILEI2XlnEtR4G9QwpGt7QJmrXqLHzrIuOmYxjBm2Kx9SbE0hHE56Ls3DfGZPUGRsJ3d4US/JE&#10;UC9rI0JqCg+ma2Je5OZxv/tskA0itmT6YhdS3V/SHPqwFb495qXQKc1Yyr7eVkQ7aA6PVFJheKBB&#10;GyAm5EZCnLWAP/60HvOplSjKmflqqa0+LVer+EzSZPXxtqAJziO7eURYSZsrHhKzSIS6NEk5vaj4&#10;DObzRPz67uufAAAA//8DAFBLAwQUAAYACAAAACEAg8S73dgAAAANAQAADwAAAGRycy9kb3ducmV2&#10;LnhtbExPy07DMBC8I/EP1iJxozYVKiHEqaAI7qT9ADd244C9jmw3MX/PckBw25kdzaPZFu/YbGIa&#10;A0q4XQlgBvugRxwkHPavNxWwlBVq5QIaCV8mwba9vGhUrcOC72bu8sDIBFOtJNicp5rz1FvjVVqF&#10;ySD9TiF6lQnGgeuoFjL3jq+F2HCvRqQEqyazs6b/7M6ecuP9zpWPN79fwkuxQ3d6FtMs5fVVeXoE&#10;lk3Jf2L4qU/VoaVOx3BGnZgjXAnakulYPwgaQZK7TUXU8ZfibcP/r2i/AQAA//8DAFBLAQItABQA&#10;BgAIAAAAIQC2gziS/gAAAOEBAAATAAAAAAAAAAAAAAAAAAAAAABbQ29udGVudF9UeXBlc10ueG1s&#10;UEsBAi0AFAAGAAgAAAAhADj9If/WAAAAlAEAAAsAAAAAAAAAAAAAAAAALwEAAF9yZWxzLy5yZWxz&#10;UEsBAi0AFAAGAAgAAAAhANF4dIXxAQAAPwQAAA4AAAAAAAAAAAAAAAAALgIAAGRycy9lMm9Eb2Mu&#10;eG1sUEsBAi0AFAAGAAgAAAAhAIPEu93YAAAADQEAAA8AAAAAAAAAAAAAAAAASwQAAGRycy9kb3du&#10;cmV2LnhtbFBLBQYAAAAABAAEAPMAAABQBQAAAAA=&#10;" o:allowincell="f" path="m,l1828800,e" filled="f" strokeweight=".21169mm">
                <v:path arrowok="t" textboxrect="0,0,1828800,0"/>
                <w10:wrap anchorx="page" anchory="page"/>
              </v:shape>
            </w:pict>
          </mc:Fallback>
        </mc:AlternateContent>
      </w:r>
    </w:p>
    <w:p w14:paraId="72178F23" w14:textId="77777777" w:rsidR="00BD1A26" w:rsidRDefault="00BD1A26">
      <w:pPr>
        <w:spacing w:line="240" w:lineRule="exact"/>
        <w:rPr>
          <w:sz w:val="24"/>
          <w:szCs w:val="24"/>
        </w:rPr>
      </w:pPr>
    </w:p>
    <w:p w14:paraId="0CDB160C" w14:textId="77777777" w:rsidR="00BD1A26" w:rsidRDefault="00BD1A26">
      <w:pPr>
        <w:spacing w:after="111" w:line="240" w:lineRule="exact"/>
        <w:rPr>
          <w:sz w:val="24"/>
          <w:szCs w:val="24"/>
        </w:rPr>
      </w:pPr>
    </w:p>
    <w:p w14:paraId="4BE9863A" w14:textId="77777777" w:rsidR="00BD1A26" w:rsidRPr="008554F9" w:rsidRDefault="002E6CBD">
      <w:pPr>
        <w:widowControl w:val="0"/>
        <w:spacing w:line="240" w:lineRule="auto"/>
        <w:ind w:left="98" w:right="6192"/>
        <w:rPr>
          <w:rFonts w:ascii="Arial" w:eastAsia="Arial" w:hAnsi="Arial" w:cs="Arial"/>
          <w:color w:val="0562C1"/>
          <w:sz w:val="23"/>
          <w:szCs w:val="23"/>
          <w:lang w:val="en-CA"/>
        </w:rPr>
      </w:pPr>
      <w:r w:rsidRPr="008554F9">
        <w:rPr>
          <w:rFonts w:ascii="Arial" w:hAnsi="Arial"/>
          <w:color w:val="000000"/>
          <w:sz w:val="23"/>
          <w:lang w:val="en-CA"/>
        </w:rPr>
        <w:t xml:space="preserve">a/s Marcos Gomez, avocat </w:t>
      </w:r>
      <w:proofErr w:type="spellStart"/>
      <w:r w:rsidRPr="008554F9">
        <w:rPr>
          <w:rFonts w:ascii="Arial" w:hAnsi="Arial"/>
          <w:color w:val="000000"/>
          <w:sz w:val="23"/>
          <w:lang w:val="en-CA"/>
        </w:rPr>
        <w:t>salarié</w:t>
      </w:r>
      <w:proofErr w:type="spellEnd"/>
      <w:r w:rsidRPr="008554F9">
        <w:rPr>
          <w:rFonts w:ascii="Arial" w:hAnsi="Arial"/>
          <w:color w:val="000000"/>
          <w:sz w:val="23"/>
          <w:lang w:val="en-CA"/>
        </w:rPr>
        <w:br/>
        <w:t>Algoma Community Legal Clinic</w:t>
      </w:r>
      <w:r w:rsidRPr="008554F9">
        <w:rPr>
          <w:rFonts w:ascii="Arial" w:hAnsi="Arial"/>
          <w:color w:val="000000"/>
          <w:sz w:val="23"/>
          <w:lang w:val="en-CA"/>
        </w:rPr>
        <w:br/>
      </w:r>
      <w:hyperlink r:id="rId8">
        <w:r w:rsidRPr="008554F9">
          <w:rPr>
            <w:rFonts w:ascii="Arial" w:hAnsi="Arial"/>
            <w:color w:val="0562C1"/>
            <w:sz w:val="23"/>
            <w:u w:val="single"/>
            <w:lang w:val="en-CA"/>
          </w:rPr>
          <w:t>marcos.gomez@algo.clcj.ca</w:t>
        </w:r>
      </w:hyperlink>
    </w:p>
    <w:p w14:paraId="58CF3DEE" w14:textId="77777777" w:rsidR="00BD1A26" w:rsidRPr="008554F9" w:rsidRDefault="00BD1A26">
      <w:pPr>
        <w:spacing w:line="240" w:lineRule="exact"/>
        <w:rPr>
          <w:rFonts w:ascii="Arial" w:eastAsia="Arial" w:hAnsi="Arial" w:cs="Arial"/>
          <w:sz w:val="24"/>
          <w:szCs w:val="24"/>
          <w:lang w:val="en-CA"/>
        </w:rPr>
      </w:pPr>
    </w:p>
    <w:p w14:paraId="2187ABA7" w14:textId="77777777" w:rsidR="00BD1A26" w:rsidRPr="008554F9" w:rsidRDefault="00BD1A26">
      <w:pPr>
        <w:spacing w:after="47" w:line="240" w:lineRule="exact"/>
        <w:rPr>
          <w:rFonts w:ascii="Arial" w:eastAsia="Arial" w:hAnsi="Arial" w:cs="Arial"/>
          <w:sz w:val="24"/>
          <w:szCs w:val="24"/>
          <w:lang w:val="en-CA"/>
        </w:rPr>
      </w:pPr>
    </w:p>
    <w:p w14:paraId="6CD0F77D" w14:textId="77777777" w:rsidR="00BD1A26" w:rsidRDefault="002E6CBD">
      <w:pPr>
        <w:widowControl w:val="0"/>
        <w:spacing w:line="240" w:lineRule="auto"/>
        <w:ind w:left="98" w:right="-20"/>
        <w:rPr>
          <w:rFonts w:ascii="Arial" w:eastAsia="Arial" w:hAnsi="Arial" w:cs="Arial"/>
          <w:color w:val="000000"/>
          <w:sz w:val="23"/>
          <w:szCs w:val="23"/>
        </w:rPr>
      </w:pPr>
      <w:r>
        <w:rPr>
          <w:rFonts w:ascii="Arial" w:hAnsi="Arial"/>
          <w:color w:val="000000"/>
          <w:sz w:val="23"/>
        </w:rPr>
        <w:t>Le 16 décembre 2022</w:t>
      </w:r>
    </w:p>
    <w:p w14:paraId="27B35DBD" w14:textId="77777777" w:rsidR="00BD1A26" w:rsidRDefault="00BD1A26">
      <w:pPr>
        <w:spacing w:after="26" w:line="240" w:lineRule="exact"/>
        <w:rPr>
          <w:rFonts w:ascii="Arial" w:eastAsia="Arial" w:hAnsi="Arial" w:cs="Arial"/>
          <w:sz w:val="24"/>
          <w:szCs w:val="24"/>
        </w:rPr>
      </w:pPr>
    </w:p>
    <w:p w14:paraId="01C9C251" w14:textId="77777777" w:rsidR="00A041AE" w:rsidRDefault="002E6CBD" w:rsidP="00A041AE">
      <w:pPr>
        <w:widowControl w:val="0"/>
        <w:spacing w:line="238" w:lineRule="auto"/>
        <w:ind w:right="-20"/>
        <w:rPr>
          <w:rFonts w:ascii="Arial" w:eastAsia="Arial" w:hAnsi="Arial" w:cs="Arial"/>
          <w:color w:val="000000"/>
          <w:sz w:val="23"/>
          <w:szCs w:val="23"/>
        </w:rPr>
      </w:pPr>
      <w:r>
        <w:rPr>
          <w:rFonts w:ascii="Arial" w:hAnsi="Arial"/>
          <w:color w:val="000000"/>
          <w:sz w:val="23"/>
        </w:rPr>
        <w:t>Sean Weir</w:t>
      </w:r>
      <w:r w:rsidR="00A041AE">
        <w:rPr>
          <w:rFonts w:ascii="Arial" w:hAnsi="Arial"/>
          <w:color w:val="000000"/>
          <w:sz w:val="23"/>
        </w:rPr>
        <w:tab/>
      </w:r>
      <w:r w:rsidR="00A041AE">
        <w:rPr>
          <w:rFonts w:ascii="Arial" w:hAnsi="Arial"/>
          <w:color w:val="000000"/>
          <w:sz w:val="23"/>
        </w:rPr>
        <w:tab/>
      </w:r>
      <w:r w:rsidR="00A041AE">
        <w:rPr>
          <w:rFonts w:ascii="Arial" w:hAnsi="Arial"/>
          <w:color w:val="000000"/>
          <w:sz w:val="23"/>
        </w:rPr>
        <w:tab/>
      </w:r>
      <w:r w:rsidR="00A041AE">
        <w:rPr>
          <w:rFonts w:ascii="Arial" w:hAnsi="Arial"/>
          <w:color w:val="000000"/>
          <w:sz w:val="23"/>
        </w:rPr>
        <w:tab/>
      </w:r>
      <w:r w:rsidR="00A041AE">
        <w:rPr>
          <w:rFonts w:ascii="Arial" w:hAnsi="Arial"/>
          <w:color w:val="000000"/>
          <w:sz w:val="23"/>
        </w:rPr>
        <w:tab/>
      </w:r>
      <w:r w:rsidR="00A041AE">
        <w:rPr>
          <w:rFonts w:ascii="Arial" w:hAnsi="Arial"/>
          <w:color w:val="000000"/>
          <w:sz w:val="23"/>
        </w:rPr>
        <w:tab/>
      </w:r>
      <w:r w:rsidR="00A041AE">
        <w:rPr>
          <w:rFonts w:ascii="Arial" w:hAnsi="Arial"/>
          <w:color w:val="000000"/>
          <w:sz w:val="23"/>
        </w:rPr>
        <w:tab/>
      </w:r>
      <w:r w:rsidR="00A041AE">
        <w:rPr>
          <w:rFonts w:ascii="Arial" w:hAnsi="Arial"/>
          <w:color w:val="000000"/>
          <w:sz w:val="23"/>
        </w:rPr>
        <w:tab/>
      </w:r>
      <w:r w:rsidR="00A041AE">
        <w:rPr>
          <w:rFonts w:ascii="Arial" w:hAnsi="Arial"/>
          <w:color w:val="000000"/>
          <w:sz w:val="23"/>
        </w:rPr>
        <w:t>Mira </w:t>
      </w:r>
      <w:proofErr w:type="spellStart"/>
      <w:r w:rsidR="00A041AE">
        <w:rPr>
          <w:rFonts w:ascii="Arial" w:hAnsi="Arial"/>
          <w:color w:val="000000"/>
          <w:sz w:val="23"/>
        </w:rPr>
        <w:t>Gamsa</w:t>
      </w:r>
      <w:proofErr w:type="spellEnd"/>
    </w:p>
    <w:p w14:paraId="180E9B3E" w14:textId="5207EEB8" w:rsidR="00BD1A26" w:rsidRDefault="002E6CBD" w:rsidP="00A041AE">
      <w:pPr>
        <w:widowControl w:val="0"/>
        <w:spacing w:line="239" w:lineRule="auto"/>
        <w:ind w:right="-62"/>
        <w:rPr>
          <w:rFonts w:ascii="Arial" w:hAnsi="Arial"/>
          <w:color w:val="0562C1"/>
          <w:sz w:val="23"/>
          <w:u w:val="single"/>
        </w:rPr>
      </w:pPr>
      <w:r>
        <w:rPr>
          <w:rFonts w:ascii="Arial" w:hAnsi="Arial"/>
          <w:color w:val="000000"/>
          <w:sz w:val="23"/>
        </w:rPr>
        <w:t>Président-directeur, Tribunaux décisionnels</w:t>
      </w:r>
      <w:r w:rsidR="00A041AE">
        <w:rPr>
          <w:rFonts w:ascii="Arial" w:hAnsi="Arial"/>
          <w:color w:val="000000"/>
          <w:sz w:val="23"/>
        </w:rPr>
        <w:tab/>
      </w:r>
      <w:r w:rsidR="00A041AE">
        <w:rPr>
          <w:rFonts w:ascii="Arial" w:hAnsi="Arial"/>
          <w:color w:val="000000"/>
          <w:sz w:val="23"/>
        </w:rPr>
        <w:tab/>
      </w:r>
      <w:r w:rsidR="00A041AE">
        <w:rPr>
          <w:rFonts w:ascii="Arial" w:hAnsi="Arial"/>
          <w:color w:val="000000"/>
          <w:sz w:val="23"/>
        </w:rPr>
        <w:tab/>
      </w:r>
      <w:r w:rsidR="00A041AE" w:rsidRPr="00A041AE">
        <w:rPr>
          <w:rFonts w:ascii="Arial" w:hAnsi="Arial"/>
          <w:color w:val="000000"/>
          <w:sz w:val="23"/>
        </w:rPr>
        <w:t>Directrice des opérations, Tribunaux</w:t>
      </w:r>
      <w:r>
        <w:rPr>
          <w:rFonts w:ascii="Arial" w:hAnsi="Arial"/>
          <w:color w:val="000000"/>
          <w:sz w:val="23"/>
        </w:rPr>
        <w:t xml:space="preserve"> </w:t>
      </w:r>
      <w:r w:rsidR="00A041AE">
        <w:rPr>
          <w:rFonts w:ascii="Arial" w:hAnsi="Arial"/>
          <w:color w:val="000000"/>
          <w:sz w:val="23"/>
        </w:rPr>
        <w:br/>
      </w:r>
      <w:r>
        <w:rPr>
          <w:rFonts w:ascii="Arial" w:hAnsi="Arial"/>
          <w:color w:val="000000"/>
          <w:sz w:val="23"/>
        </w:rPr>
        <w:t>Ontario</w:t>
      </w:r>
      <w:r w:rsidR="00A041AE">
        <w:rPr>
          <w:rFonts w:ascii="Arial" w:hAnsi="Arial"/>
          <w:color w:val="000000"/>
          <w:sz w:val="23"/>
        </w:rPr>
        <w:tab/>
      </w:r>
      <w:r w:rsidR="00A041AE">
        <w:rPr>
          <w:rFonts w:ascii="Arial" w:hAnsi="Arial"/>
          <w:color w:val="000000"/>
          <w:sz w:val="23"/>
        </w:rPr>
        <w:tab/>
      </w:r>
      <w:r w:rsidR="00A041AE">
        <w:rPr>
          <w:rFonts w:ascii="Arial" w:hAnsi="Arial"/>
          <w:color w:val="000000"/>
          <w:sz w:val="23"/>
        </w:rPr>
        <w:tab/>
      </w:r>
      <w:r w:rsidR="00A041AE">
        <w:rPr>
          <w:rFonts w:ascii="Arial" w:hAnsi="Arial"/>
          <w:color w:val="000000"/>
          <w:sz w:val="23"/>
        </w:rPr>
        <w:tab/>
      </w:r>
      <w:r w:rsidR="00A041AE">
        <w:rPr>
          <w:rFonts w:ascii="Arial" w:hAnsi="Arial"/>
          <w:color w:val="000000"/>
          <w:sz w:val="23"/>
        </w:rPr>
        <w:tab/>
      </w:r>
      <w:r w:rsidR="00A041AE">
        <w:rPr>
          <w:rFonts w:ascii="Arial" w:hAnsi="Arial"/>
          <w:color w:val="000000"/>
          <w:sz w:val="23"/>
        </w:rPr>
        <w:tab/>
      </w:r>
      <w:r w:rsidR="00A041AE">
        <w:rPr>
          <w:rFonts w:ascii="Arial" w:hAnsi="Arial"/>
          <w:color w:val="000000"/>
          <w:sz w:val="23"/>
        </w:rPr>
        <w:tab/>
      </w:r>
      <w:r w:rsidR="00A041AE">
        <w:rPr>
          <w:rFonts w:ascii="Arial" w:hAnsi="Arial"/>
          <w:color w:val="000000"/>
          <w:sz w:val="23"/>
        </w:rPr>
        <w:tab/>
      </w:r>
      <w:r w:rsidR="00A041AE" w:rsidRPr="00A041AE">
        <w:rPr>
          <w:rFonts w:ascii="Arial" w:hAnsi="Arial"/>
          <w:color w:val="000000"/>
          <w:sz w:val="23"/>
        </w:rPr>
        <w:t>décisionnels Ontario</w:t>
      </w:r>
      <w:r>
        <w:rPr>
          <w:rFonts w:ascii="Arial" w:hAnsi="Arial"/>
          <w:color w:val="000000"/>
          <w:sz w:val="23"/>
        </w:rPr>
        <w:br/>
      </w:r>
      <w:hyperlink r:id="rId9">
        <w:r>
          <w:rPr>
            <w:rFonts w:ascii="Arial" w:hAnsi="Arial"/>
            <w:color w:val="0562C1"/>
            <w:sz w:val="23"/>
            <w:u w:val="single"/>
          </w:rPr>
          <w:t>Sean.Weir@ontario.ca</w:t>
        </w:r>
      </w:hyperlink>
      <w:r w:rsidR="00A041AE" w:rsidRPr="00A041AE">
        <w:rPr>
          <w:rFonts w:ascii="Arial" w:hAnsi="Arial"/>
          <w:color w:val="0562C1"/>
          <w:sz w:val="23"/>
        </w:rPr>
        <w:tab/>
      </w:r>
      <w:r w:rsidR="00A041AE" w:rsidRPr="00A041AE">
        <w:rPr>
          <w:rFonts w:ascii="Arial" w:hAnsi="Arial"/>
          <w:color w:val="0562C1"/>
          <w:sz w:val="23"/>
        </w:rPr>
        <w:tab/>
      </w:r>
      <w:r w:rsidR="00A041AE" w:rsidRPr="00A041AE">
        <w:rPr>
          <w:rFonts w:ascii="Arial" w:hAnsi="Arial"/>
          <w:color w:val="0562C1"/>
          <w:sz w:val="23"/>
        </w:rPr>
        <w:tab/>
      </w:r>
      <w:r w:rsidR="00A041AE" w:rsidRPr="00A041AE">
        <w:rPr>
          <w:rFonts w:ascii="Arial" w:hAnsi="Arial"/>
          <w:color w:val="0562C1"/>
          <w:sz w:val="23"/>
        </w:rPr>
        <w:tab/>
      </w:r>
      <w:r w:rsidR="00A041AE" w:rsidRPr="00A041AE">
        <w:rPr>
          <w:rFonts w:ascii="Arial" w:hAnsi="Arial"/>
          <w:color w:val="0562C1"/>
          <w:sz w:val="23"/>
        </w:rPr>
        <w:tab/>
      </w:r>
      <w:r w:rsidR="00A041AE" w:rsidRPr="00A041AE">
        <w:rPr>
          <w:rFonts w:ascii="Arial" w:hAnsi="Arial"/>
          <w:color w:val="0562C1"/>
          <w:sz w:val="23"/>
        </w:rPr>
        <w:tab/>
      </w:r>
      <w:hyperlink r:id="rId10">
        <w:r w:rsidR="00A041AE">
          <w:rPr>
            <w:rFonts w:ascii="Arial" w:hAnsi="Arial"/>
            <w:color w:val="0562C1"/>
            <w:sz w:val="23"/>
            <w:u w:val="single"/>
          </w:rPr>
          <w:t>Mira.Gamsa@ontario.ca</w:t>
        </w:r>
      </w:hyperlink>
    </w:p>
    <w:p w14:paraId="68F8F587" w14:textId="77777777" w:rsidR="00DA3FC9" w:rsidRDefault="00DA3FC9" w:rsidP="00A041AE">
      <w:pPr>
        <w:widowControl w:val="0"/>
        <w:spacing w:line="239" w:lineRule="auto"/>
        <w:ind w:right="-62"/>
        <w:rPr>
          <w:rFonts w:ascii="Arial" w:eastAsia="Arial" w:hAnsi="Arial" w:cs="Arial"/>
          <w:color w:val="0562C1"/>
          <w:sz w:val="23"/>
          <w:szCs w:val="23"/>
        </w:rPr>
      </w:pPr>
    </w:p>
    <w:p w14:paraId="5F36D54F" w14:textId="77777777" w:rsidR="00A041AE" w:rsidRDefault="00A041AE" w:rsidP="00A041AE">
      <w:pPr>
        <w:widowControl w:val="0"/>
        <w:spacing w:line="239" w:lineRule="auto"/>
        <w:ind w:right="-20"/>
        <w:rPr>
          <w:rFonts w:ascii="Arial" w:eastAsia="Arial" w:hAnsi="Arial" w:cs="Arial"/>
          <w:color w:val="000000"/>
          <w:sz w:val="23"/>
          <w:szCs w:val="23"/>
        </w:rPr>
      </w:pPr>
      <w:r>
        <w:rPr>
          <w:rFonts w:ascii="Arial" w:hAnsi="Arial"/>
          <w:color w:val="000000"/>
          <w:sz w:val="23"/>
        </w:rPr>
        <w:t xml:space="preserve">Harry </w:t>
      </w:r>
      <w:proofErr w:type="spellStart"/>
      <w:r>
        <w:rPr>
          <w:rFonts w:ascii="Arial" w:hAnsi="Arial"/>
          <w:color w:val="000000"/>
          <w:sz w:val="23"/>
        </w:rPr>
        <w:t>Gousopoulos</w:t>
      </w:r>
      <w:proofErr w:type="spellEnd"/>
      <w:r>
        <w:rPr>
          <w:rFonts w:ascii="Arial" w:hAnsi="Arial"/>
          <w:color w:val="000000"/>
          <w:sz w:val="23"/>
        </w:rPr>
        <w:tab/>
      </w:r>
      <w:r>
        <w:rPr>
          <w:rFonts w:ascii="Arial" w:hAnsi="Arial"/>
          <w:color w:val="000000"/>
          <w:sz w:val="23"/>
        </w:rPr>
        <w:tab/>
      </w:r>
      <w:r>
        <w:rPr>
          <w:rFonts w:ascii="Arial" w:hAnsi="Arial"/>
          <w:color w:val="000000"/>
          <w:sz w:val="23"/>
        </w:rPr>
        <w:tab/>
      </w:r>
      <w:r>
        <w:rPr>
          <w:rFonts w:ascii="Arial" w:hAnsi="Arial"/>
          <w:color w:val="000000"/>
          <w:sz w:val="23"/>
        </w:rPr>
        <w:tab/>
      </w:r>
      <w:r>
        <w:rPr>
          <w:rFonts w:ascii="Arial" w:hAnsi="Arial"/>
          <w:color w:val="000000"/>
          <w:sz w:val="23"/>
        </w:rPr>
        <w:tab/>
      </w:r>
      <w:r>
        <w:rPr>
          <w:rFonts w:ascii="Arial" w:hAnsi="Arial"/>
          <w:color w:val="000000"/>
          <w:sz w:val="23"/>
        </w:rPr>
        <w:tab/>
      </w:r>
      <w:r>
        <w:rPr>
          <w:rFonts w:ascii="Arial" w:hAnsi="Arial"/>
          <w:color w:val="000000"/>
          <w:sz w:val="23"/>
        </w:rPr>
        <w:tab/>
      </w:r>
      <w:proofErr w:type="spellStart"/>
      <w:r>
        <w:rPr>
          <w:rFonts w:ascii="Arial" w:hAnsi="Arial"/>
          <w:color w:val="000000"/>
          <w:sz w:val="23"/>
        </w:rPr>
        <w:t>Lindiwe</w:t>
      </w:r>
      <w:proofErr w:type="spellEnd"/>
      <w:r>
        <w:rPr>
          <w:rFonts w:ascii="Arial" w:hAnsi="Arial"/>
          <w:color w:val="000000"/>
          <w:sz w:val="23"/>
        </w:rPr>
        <w:t xml:space="preserve"> Bridgewater</w:t>
      </w:r>
    </w:p>
    <w:p w14:paraId="2F4D2775" w14:textId="65044B9F" w:rsidR="00A041AE" w:rsidRDefault="00A041AE" w:rsidP="00A041AE">
      <w:pPr>
        <w:widowControl w:val="0"/>
        <w:spacing w:before="36" w:line="239" w:lineRule="auto"/>
        <w:ind w:right="-20"/>
        <w:rPr>
          <w:rFonts w:ascii="Arial" w:eastAsia="Arial" w:hAnsi="Arial" w:cs="Arial"/>
          <w:color w:val="000000"/>
          <w:sz w:val="23"/>
          <w:szCs w:val="23"/>
        </w:rPr>
      </w:pPr>
      <w:r>
        <w:rPr>
          <w:rFonts w:ascii="Arial" w:hAnsi="Arial"/>
          <w:color w:val="000000"/>
          <w:sz w:val="23"/>
        </w:rPr>
        <w:t>Directeur général, Tribunaux décisionnels</w:t>
      </w:r>
      <w:r>
        <w:rPr>
          <w:rFonts w:ascii="Arial" w:hAnsi="Arial"/>
          <w:color w:val="000000"/>
          <w:sz w:val="23"/>
        </w:rPr>
        <w:tab/>
      </w:r>
      <w:r>
        <w:rPr>
          <w:rFonts w:ascii="Arial" w:hAnsi="Arial"/>
          <w:color w:val="000000"/>
          <w:sz w:val="23"/>
        </w:rPr>
        <w:tab/>
      </w:r>
      <w:r>
        <w:rPr>
          <w:rFonts w:ascii="Arial" w:hAnsi="Arial"/>
          <w:color w:val="000000"/>
          <w:sz w:val="23"/>
        </w:rPr>
        <w:tab/>
      </w:r>
      <w:r>
        <w:rPr>
          <w:rFonts w:ascii="Arial" w:hAnsi="Arial"/>
          <w:color w:val="000000"/>
          <w:sz w:val="23"/>
        </w:rPr>
        <w:tab/>
      </w:r>
      <w:r>
        <w:rPr>
          <w:rFonts w:ascii="Arial" w:hAnsi="Arial"/>
          <w:color w:val="000000"/>
          <w:sz w:val="23"/>
        </w:rPr>
        <w:t>Registraire, Commission de la</w:t>
      </w:r>
    </w:p>
    <w:p w14:paraId="277E3513" w14:textId="77777777" w:rsidR="00A041AE" w:rsidRPr="00A041AE" w:rsidRDefault="00A041AE" w:rsidP="00A041AE">
      <w:pPr>
        <w:widowControl w:val="0"/>
        <w:spacing w:line="240" w:lineRule="auto"/>
        <w:ind w:right="984"/>
        <w:rPr>
          <w:rFonts w:ascii="Arial" w:eastAsia="Arial" w:hAnsi="Arial" w:cs="Arial"/>
          <w:color w:val="0562C1"/>
          <w:sz w:val="23"/>
          <w:szCs w:val="23"/>
          <w:lang w:val="en-CA"/>
        </w:rPr>
      </w:pPr>
      <w:r w:rsidRPr="00A041AE">
        <w:rPr>
          <w:rFonts w:ascii="Arial" w:hAnsi="Arial"/>
          <w:color w:val="000000"/>
          <w:sz w:val="23"/>
          <w:lang w:val="en-CA"/>
        </w:rPr>
        <w:t>Ontario</w:t>
      </w:r>
      <w:r w:rsidRPr="00A041AE">
        <w:rPr>
          <w:rFonts w:ascii="Arial" w:hAnsi="Arial"/>
          <w:color w:val="000000"/>
          <w:sz w:val="23"/>
          <w:lang w:val="en-CA"/>
        </w:rPr>
        <w:tab/>
      </w:r>
      <w:r w:rsidRPr="00A041AE">
        <w:rPr>
          <w:rFonts w:ascii="Arial" w:hAnsi="Arial"/>
          <w:color w:val="000000"/>
          <w:sz w:val="23"/>
          <w:lang w:val="en-CA"/>
        </w:rPr>
        <w:tab/>
      </w:r>
      <w:r w:rsidRPr="00A041AE">
        <w:rPr>
          <w:rFonts w:ascii="Arial" w:hAnsi="Arial"/>
          <w:color w:val="000000"/>
          <w:sz w:val="23"/>
          <w:lang w:val="en-CA"/>
        </w:rPr>
        <w:tab/>
      </w:r>
      <w:r w:rsidRPr="00A041AE">
        <w:rPr>
          <w:rFonts w:ascii="Arial" w:hAnsi="Arial"/>
          <w:color w:val="000000"/>
          <w:sz w:val="23"/>
          <w:lang w:val="en-CA"/>
        </w:rPr>
        <w:tab/>
      </w:r>
      <w:r w:rsidRPr="00A041AE">
        <w:rPr>
          <w:rFonts w:ascii="Arial" w:hAnsi="Arial"/>
          <w:color w:val="000000"/>
          <w:sz w:val="23"/>
          <w:lang w:val="en-CA"/>
        </w:rPr>
        <w:tab/>
      </w:r>
      <w:r w:rsidRPr="00A041AE">
        <w:rPr>
          <w:rFonts w:ascii="Arial" w:hAnsi="Arial"/>
          <w:color w:val="000000"/>
          <w:sz w:val="23"/>
          <w:lang w:val="en-CA"/>
        </w:rPr>
        <w:tab/>
      </w:r>
      <w:r w:rsidRPr="00A041AE">
        <w:rPr>
          <w:rFonts w:ascii="Arial" w:hAnsi="Arial"/>
          <w:color w:val="000000"/>
          <w:sz w:val="23"/>
          <w:lang w:val="en-CA"/>
        </w:rPr>
        <w:tab/>
      </w:r>
      <w:r w:rsidRPr="00A041AE">
        <w:rPr>
          <w:rFonts w:ascii="Arial" w:hAnsi="Arial"/>
          <w:color w:val="000000"/>
          <w:sz w:val="23"/>
          <w:lang w:val="en-CA"/>
        </w:rPr>
        <w:tab/>
      </w:r>
      <w:r w:rsidRPr="00A041AE">
        <w:rPr>
          <w:rFonts w:ascii="Arial" w:hAnsi="Arial"/>
          <w:color w:val="000000"/>
          <w:sz w:val="23"/>
          <w:lang w:val="en-CA"/>
        </w:rPr>
        <w:t xml:space="preserve">location </w:t>
      </w:r>
      <w:proofErr w:type="spellStart"/>
      <w:r w:rsidRPr="00A041AE">
        <w:rPr>
          <w:rFonts w:ascii="Arial" w:hAnsi="Arial"/>
          <w:color w:val="000000"/>
          <w:sz w:val="23"/>
          <w:lang w:val="en-CA"/>
        </w:rPr>
        <w:t>immobilière</w:t>
      </w:r>
      <w:proofErr w:type="spellEnd"/>
      <w:r w:rsidRPr="00A041AE">
        <w:rPr>
          <w:rFonts w:ascii="Arial" w:hAnsi="Arial"/>
          <w:color w:val="000000"/>
          <w:sz w:val="23"/>
          <w:lang w:val="en-CA"/>
        </w:rPr>
        <w:br/>
      </w:r>
      <w:hyperlink r:id="rId11">
        <w:r w:rsidR="00DA3FC9" w:rsidRPr="00A041AE">
          <w:rPr>
            <w:rFonts w:ascii="Arial" w:hAnsi="Arial"/>
            <w:color w:val="0562C1"/>
            <w:sz w:val="23"/>
            <w:u w:val="single"/>
            <w:lang w:val="en-CA"/>
          </w:rPr>
          <w:t>Harry.Gousopoulos@ontario.ca</w:t>
        </w:r>
      </w:hyperlink>
      <w:r>
        <w:rPr>
          <w:rFonts w:ascii="Arial" w:hAnsi="Arial"/>
          <w:color w:val="0562C1"/>
          <w:sz w:val="23"/>
        </w:rPr>
        <w:tab/>
      </w:r>
      <w:r>
        <w:rPr>
          <w:rFonts w:ascii="Arial" w:hAnsi="Arial"/>
          <w:color w:val="0562C1"/>
          <w:sz w:val="23"/>
        </w:rPr>
        <w:tab/>
      </w:r>
      <w:r>
        <w:rPr>
          <w:rFonts w:ascii="Arial" w:hAnsi="Arial"/>
          <w:color w:val="0562C1"/>
          <w:sz w:val="23"/>
        </w:rPr>
        <w:tab/>
      </w:r>
      <w:r>
        <w:rPr>
          <w:rFonts w:ascii="Arial" w:hAnsi="Arial"/>
          <w:color w:val="0562C1"/>
          <w:sz w:val="23"/>
        </w:rPr>
        <w:tab/>
      </w:r>
      <w:r>
        <w:rPr>
          <w:rFonts w:ascii="Arial" w:hAnsi="Arial"/>
          <w:color w:val="0562C1"/>
          <w:sz w:val="23"/>
        </w:rPr>
        <w:tab/>
      </w:r>
      <w:hyperlink r:id="rId12">
        <w:r w:rsidRPr="00A041AE">
          <w:rPr>
            <w:rFonts w:ascii="Arial" w:hAnsi="Arial"/>
            <w:color w:val="0562C1"/>
            <w:sz w:val="23"/>
            <w:u w:val="single"/>
            <w:lang w:val="en-CA"/>
          </w:rPr>
          <w:t>Lindiwe.Bridgewater@ontario.ca</w:t>
        </w:r>
      </w:hyperlink>
    </w:p>
    <w:p w14:paraId="28FDCC2A" w14:textId="77777777" w:rsidR="00DA3FC9" w:rsidRPr="00A041AE" w:rsidRDefault="00DA3FC9" w:rsidP="00A041AE">
      <w:pPr>
        <w:widowControl w:val="0"/>
        <w:spacing w:line="239" w:lineRule="auto"/>
        <w:ind w:right="-62"/>
        <w:rPr>
          <w:rFonts w:ascii="Arial" w:eastAsia="Arial" w:hAnsi="Arial" w:cs="Arial"/>
          <w:color w:val="0562C1"/>
          <w:sz w:val="23"/>
          <w:szCs w:val="23"/>
          <w:lang w:val="en-CA"/>
        </w:rPr>
      </w:pPr>
    </w:p>
    <w:p w14:paraId="5E42E4E8" w14:textId="77777777" w:rsidR="00BD1A26" w:rsidRPr="00A041AE" w:rsidRDefault="002E6CBD" w:rsidP="00A041AE">
      <w:pPr>
        <w:widowControl w:val="0"/>
        <w:spacing w:line="241" w:lineRule="auto"/>
        <w:ind w:right="-20"/>
        <w:rPr>
          <w:rFonts w:ascii="Arial" w:eastAsia="Arial" w:hAnsi="Arial" w:cs="Arial"/>
          <w:color w:val="000000"/>
          <w:sz w:val="23"/>
          <w:szCs w:val="23"/>
          <w:lang w:val="en-CA"/>
        </w:rPr>
      </w:pPr>
      <w:r w:rsidRPr="00A041AE">
        <w:rPr>
          <w:rFonts w:ascii="Arial" w:hAnsi="Arial"/>
          <w:color w:val="000000"/>
          <w:sz w:val="23"/>
          <w:lang w:val="en-CA"/>
        </w:rPr>
        <w:t>Ian Speers</w:t>
      </w:r>
    </w:p>
    <w:p w14:paraId="475477AA" w14:textId="7CFD44C1" w:rsidR="00BD1A26" w:rsidRDefault="002E6CBD" w:rsidP="00A041AE">
      <w:pPr>
        <w:widowControl w:val="0"/>
        <w:spacing w:line="238" w:lineRule="auto"/>
        <w:ind w:right="27"/>
        <w:rPr>
          <w:rFonts w:ascii="Arial" w:eastAsia="Arial" w:hAnsi="Arial" w:cs="Arial"/>
          <w:color w:val="0562C1"/>
          <w:sz w:val="23"/>
          <w:szCs w:val="23"/>
        </w:rPr>
      </w:pPr>
      <w:r w:rsidRPr="00A041AE">
        <w:rPr>
          <w:rFonts w:ascii="Arial" w:hAnsi="Arial"/>
          <w:color w:val="000000"/>
          <w:sz w:val="23"/>
        </w:rPr>
        <w:t xml:space="preserve">Président associé, Commission de la </w:t>
      </w:r>
      <w:r w:rsidR="00A041AE">
        <w:rPr>
          <w:rFonts w:ascii="Arial" w:hAnsi="Arial"/>
          <w:color w:val="000000"/>
          <w:sz w:val="23"/>
        </w:rPr>
        <w:br/>
      </w:r>
      <w:r w:rsidRPr="00A041AE">
        <w:rPr>
          <w:rFonts w:ascii="Arial" w:hAnsi="Arial"/>
          <w:color w:val="000000"/>
          <w:sz w:val="23"/>
        </w:rPr>
        <w:t>location immobilière</w:t>
      </w:r>
      <w:r w:rsidRPr="00A041AE">
        <w:rPr>
          <w:rFonts w:ascii="Arial" w:hAnsi="Arial"/>
          <w:color w:val="000000"/>
          <w:sz w:val="23"/>
        </w:rPr>
        <w:br/>
      </w:r>
      <w:hyperlink r:id="rId13">
        <w:r>
          <w:rPr>
            <w:rFonts w:ascii="Arial" w:hAnsi="Arial"/>
            <w:color w:val="0562C1"/>
            <w:sz w:val="23"/>
            <w:u w:val="single"/>
          </w:rPr>
          <w:t>Ian.Speers@ontario.ca</w:t>
        </w:r>
      </w:hyperlink>
    </w:p>
    <w:p w14:paraId="77CA9A50" w14:textId="77777777" w:rsidR="008554F9" w:rsidRDefault="008554F9" w:rsidP="008554F9">
      <w:pPr>
        <w:spacing w:after="10" w:line="220" w:lineRule="exact"/>
      </w:pPr>
    </w:p>
    <w:p w14:paraId="0E7F975E" w14:textId="77777777" w:rsidR="00BD1A26" w:rsidRDefault="00BD1A26">
      <w:pPr>
        <w:spacing w:after="25" w:line="240" w:lineRule="exact"/>
        <w:rPr>
          <w:rFonts w:ascii="Arial" w:eastAsia="Arial" w:hAnsi="Arial" w:cs="Arial"/>
          <w:sz w:val="24"/>
          <w:szCs w:val="24"/>
        </w:rPr>
      </w:pPr>
    </w:p>
    <w:p w14:paraId="4FDEA61F" w14:textId="77777777" w:rsidR="00BD1A26" w:rsidRDefault="002E6CBD">
      <w:pPr>
        <w:widowControl w:val="0"/>
        <w:spacing w:line="240" w:lineRule="auto"/>
        <w:ind w:left="98" w:right="-20"/>
        <w:rPr>
          <w:rFonts w:ascii="Arial" w:eastAsia="Arial" w:hAnsi="Arial" w:cs="Arial"/>
          <w:i/>
          <w:iCs/>
          <w:color w:val="000000"/>
          <w:sz w:val="23"/>
          <w:szCs w:val="23"/>
        </w:rPr>
      </w:pPr>
      <w:r>
        <w:rPr>
          <w:rFonts w:ascii="Arial" w:hAnsi="Arial"/>
          <w:i/>
          <w:color w:val="000000"/>
          <w:sz w:val="23"/>
        </w:rPr>
        <w:t>Envoyé</w:t>
      </w:r>
      <w:r>
        <w:rPr>
          <w:rFonts w:ascii="Arial" w:hAnsi="Arial"/>
          <w:color w:val="000000"/>
          <w:sz w:val="23"/>
        </w:rPr>
        <w:t xml:space="preserve"> </w:t>
      </w:r>
      <w:r>
        <w:rPr>
          <w:rFonts w:ascii="Arial" w:hAnsi="Arial"/>
          <w:i/>
          <w:color w:val="000000"/>
          <w:sz w:val="23"/>
        </w:rPr>
        <w:t>par</w:t>
      </w:r>
      <w:r>
        <w:rPr>
          <w:rFonts w:ascii="Arial" w:hAnsi="Arial"/>
          <w:color w:val="000000"/>
          <w:sz w:val="23"/>
        </w:rPr>
        <w:t xml:space="preserve"> </w:t>
      </w:r>
      <w:r>
        <w:rPr>
          <w:rFonts w:ascii="Arial" w:hAnsi="Arial"/>
          <w:i/>
          <w:color w:val="000000"/>
          <w:sz w:val="23"/>
        </w:rPr>
        <w:t>courriel</w:t>
      </w:r>
      <w:r>
        <w:rPr>
          <w:rFonts w:ascii="Arial" w:hAnsi="Arial"/>
          <w:color w:val="000000"/>
          <w:sz w:val="23"/>
        </w:rPr>
        <w:t>.</w:t>
      </w:r>
    </w:p>
    <w:p w14:paraId="2B97DD36" w14:textId="77777777" w:rsidR="00BD1A26" w:rsidRDefault="00BD1A26">
      <w:pPr>
        <w:spacing w:line="240" w:lineRule="exact"/>
        <w:rPr>
          <w:rFonts w:ascii="Arial" w:eastAsia="Arial" w:hAnsi="Arial" w:cs="Arial"/>
          <w:sz w:val="24"/>
          <w:szCs w:val="24"/>
        </w:rPr>
      </w:pPr>
    </w:p>
    <w:p w14:paraId="7C1D1741" w14:textId="77777777" w:rsidR="00BD1A26" w:rsidRDefault="002E6CBD">
      <w:pPr>
        <w:widowControl w:val="0"/>
        <w:spacing w:line="240" w:lineRule="auto"/>
        <w:ind w:left="98" w:right="-20"/>
        <w:rPr>
          <w:rFonts w:ascii="Arial" w:eastAsia="Arial" w:hAnsi="Arial" w:cs="Arial"/>
          <w:b/>
          <w:bCs/>
          <w:color w:val="000000"/>
          <w:sz w:val="23"/>
          <w:szCs w:val="23"/>
        </w:rPr>
      </w:pPr>
      <w:r>
        <w:rPr>
          <w:rFonts w:ascii="Arial" w:hAnsi="Arial"/>
          <w:b/>
          <w:color w:val="000000"/>
          <w:sz w:val="23"/>
        </w:rPr>
        <w:t>Objet :</w:t>
      </w:r>
      <w:r>
        <w:rPr>
          <w:rFonts w:ascii="Arial" w:hAnsi="Arial"/>
          <w:color w:val="000000"/>
          <w:sz w:val="23"/>
        </w:rPr>
        <w:t xml:space="preserve"> </w:t>
      </w:r>
      <w:r>
        <w:rPr>
          <w:rFonts w:ascii="Arial" w:hAnsi="Arial"/>
          <w:b/>
          <w:color w:val="000000"/>
          <w:sz w:val="23"/>
        </w:rPr>
        <w:t>Proposition de tenir des audiences en soirée et la fin de semaine à la CLI</w:t>
      </w:r>
    </w:p>
    <w:p w14:paraId="03121EF7" w14:textId="77777777" w:rsidR="00BD1A26" w:rsidRDefault="00BD1A26">
      <w:pPr>
        <w:spacing w:after="26" w:line="240" w:lineRule="exact"/>
        <w:rPr>
          <w:rFonts w:ascii="Arial" w:eastAsia="Arial" w:hAnsi="Arial" w:cs="Arial"/>
          <w:sz w:val="24"/>
          <w:szCs w:val="24"/>
        </w:rPr>
      </w:pPr>
    </w:p>
    <w:p w14:paraId="5F0351E4" w14:textId="77777777" w:rsidR="008554F9" w:rsidRDefault="008554F9" w:rsidP="008554F9">
      <w:pPr>
        <w:widowControl w:val="0"/>
        <w:spacing w:line="240" w:lineRule="auto"/>
        <w:ind w:left="98" w:right="-20"/>
        <w:rPr>
          <w:rFonts w:ascii="Arial" w:eastAsia="Arial" w:hAnsi="Arial" w:cs="Arial"/>
          <w:color w:val="000000"/>
          <w:sz w:val="23"/>
          <w:szCs w:val="23"/>
        </w:rPr>
      </w:pPr>
      <w:r>
        <w:rPr>
          <w:rFonts w:ascii="Arial" w:hAnsi="Arial"/>
          <w:color w:val="000000"/>
          <w:sz w:val="23"/>
        </w:rPr>
        <w:t xml:space="preserve">Monsieur Weir, Madame </w:t>
      </w:r>
      <w:proofErr w:type="spellStart"/>
      <w:r>
        <w:rPr>
          <w:rFonts w:ascii="Arial" w:hAnsi="Arial"/>
          <w:color w:val="000000"/>
          <w:sz w:val="23"/>
        </w:rPr>
        <w:t>Gamsa</w:t>
      </w:r>
      <w:proofErr w:type="spellEnd"/>
      <w:r>
        <w:rPr>
          <w:rFonts w:ascii="Arial" w:hAnsi="Arial"/>
          <w:color w:val="000000"/>
          <w:sz w:val="23"/>
        </w:rPr>
        <w:t xml:space="preserve">, Monsieur </w:t>
      </w:r>
      <w:proofErr w:type="spellStart"/>
      <w:r>
        <w:rPr>
          <w:rFonts w:ascii="Arial" w:hAnsi="Arial"/>
          <w:color w:val="000000"/>
          <w:sz w:val="23"/>
        </w:rPr>
        <w:t>Gousopoulos</w:t>
      </w:r>
      <w:proofErr w:type="spellEnd"/>
      <w:r>
        <w:rPr>
          <w:rFonts w:ascii="Arial" w:hAnsi="Arial"/>
          <w:color w:val="000000"/>
          <w:sz w:val="23"/>
        </w:rPr>
        <w:t xml:space="preserve">, Madame Bridgewater et Monsieur </w:t>
      </w:r>
      <w:proofErr w:type="spellStart"/>
      <w:r>
        <w:rPr>
          <w:rFonts w:ascii="Arial" w:hAnsi="Arial"/>
          <w:color w:val="000000"/>
          <w:sz w:val="23"/>
        </w:rPr>
        <w:t>Speers</w:t>
      </w:r>
      <w:proofErr w:type="spellEnd"/>
      <w:r>
        <w:rPr>
          <w:rFonts w:ascii="Arial" w:hAnsi="Arial"/>
          <w:color w:val="000000"/>
          <w:sz w:val="23"/>
        </w:rPr>
        <w:t>,</w:t>
      </w:r>
    </w:p>
    <w:p w14:paraId="269937ED" w14:textId="37AAEC69" w:rsidR="008554F9" w:rsidRDefault="008554F9">
      <w:pPr>
        <w:spacing w:after="26" w:line="240" w:lineRule="exact"/>
        <w:rPr>
          <w:rFonts w:ascii="Arial" w:eastAsia="Arial" w:hAnsi="Arial" w:cs="Arial"/>
          <w:sz w:val="24"/>
          <w:szCs w:val="24"/>
        </w:rPr>
      </w:pPr>
    </w:p>
    <w:p w14:paraId="693A9111" w14:textId="77777777" w:rsidR="00BD1A26" w:rsidRDefault="002E6CBD">
      <w:pPr>
        <w:widowControl w:val="0"/>
        <w:spacing w:line="239" w:lineRule="auto"/>
        <w:ind w:left="98" w:right="569"/>
        <w:jc w:val="both"/>
        <w:rPr>
          <w:rFonts w:ascii="Arial" w:eastAsia="Arial" w:hAnsi="Arial" w:cs="Arial"/>
          <w:color w:val="000000"/>
          <w:sz w:val="23"/>
          <w:szCs w:val="23"/>
        </w:rPr>
      </w:pPr>
      <w:r>
        <w:rPr>
          <w:rFonts w:ascii="Arial" w:hAnsi="Arial"/>
          <w:color w:val="000000"/>
          <w:sz w:val="23"/>
        </w:rPr>
        <w:t>Comme vous le savez, le Comité des cliniques juridiques en matière de logement (CCJML) est un groupe provincial de travailleurs juridiques qui aident les locataires à faible revenu par l’intermédiaire des organismes juridiques communautaires de l’Ontario. Le 10 novembre, nous vous avons fait part de nos préoccupations au sujet des échéances, des demandes urgentes des locataires, des ordonnances provisoires et du portail de Tribunaux décisionnels Ontario.</w:t>
      </w:r>
    </w:p>
    <w:p w14:paraId="06DC20E2" w14:textId="77777777" w:rsidR="00BD1A26" w:rsidRDefault="00BD1A26">
      <w:pPr>
        <w:spacing w:after="24" w:line="240" w:lineRule="exact"/>
        <w:rPr>
          <w:rFonts w:ascii="Arial" w:eastAsia="Arial" w:hAnsi="Arial" w:cs="Arial"/>
          <w:sz w:val="24"/>
          <w:szCs w:val="24"/>
        </w:rPr>
      </w:pPr>
    </w:p>
    <w:p w14:paraId="45E63134" w14:textId="77777777" w:rsidR="00BD1A26" w:rsidRDefault="002E6CBD">
      <w:pPr>
        <w:widowControl w:val="0"/>
        <w:spacing w:line="239" w:lineRule="auto"/>
        <w:ind w:left="99" w:right="568"/>
        <w:jc w:val="both"/>
        <w:rPr>
          <w:rFonts w:ascii="Arial" w:eastAsia="Arial" w:hAnsi="Arial" w:cs="Arial"/>
          <w:color w:val="000000"/>
          <w:sz w:val="23"/>
          <w:szCs w:val="23"/>
        </w:rPr>
      </w:pPr>
      <w:r>
        <w:rPr>
          <w:rFonts w:ascii="Arial" w:hAnsi="Arial"/>
          <w:color w:val="000000"/>
          <w:sz w:val="23"/>
        </w:rPr>
        <w:t>Dans notre lettre, nous revenons sur nos commentaires précédents sur la proposition d’horaire d’audience en soirée ou en fin de semaine après que des informations supplémentaires aient été fournies par la Commission de la location immobilière (CLI) lors de sa séance de consultation des parties prenantes le 30 novembre</w:t>
      </w:r>
      <w:r>
        <w:rPr>
          <w:rFonts w:ascii="Arial" w:hAnsi="Arial"/>
          <w:color w:val="000000"/>
        </w:rPr>
        <w:t>.</w:t>
      </w:r>
      <w:r>
        <w:rPr>
          <w:rFonts w:ascii="Arial" w:hAnsi="Arial"/>
          <w:color w:val="000000"/>
          <w:sz w:val="23"/>
        </w:rPr>
        <w:t xml:space="preserve"> Nous pensons qu’il n’est pas nécessaire d’étendre les audiences aux soirs et aux week-ends et que cette mesure risque de créer des obstacles supplémentaires pour les locataires lors du processus.</w:t>
      </w:r>
    </w:p>
    <w:p w14:paraId="2AFA6D16" w14:textId="77777777" w:rsidR="00BD1A26" w:rsidRDefault="00BD1A26">
      <w:pPr>
        <w:spacing w:after="24" w:line="240" w:lineRule="exact"/>
        <w:rPr>
          <w:rFonts w:ascii="Arial" w:eastAsia="Arial" w:hAnsi="Arial" w:cs="Arial"/>
          <w:sz w:val="24"/>
          <w:szCs w:val="24"/>
        </w:rPr>
      </w:pPr>
    </w:p>
    <w:p w14:paraId="162BCFFF" w14:textId="52A9E672" w:rsidR="008554F9" w:rsidRDefault="008554F9">
      <w:pPr>
        <w:rPr>
          <w:rFonts w:ascii="Arial" w:hAnsi="Arial"/>
          <w:color w:val="000000"/>
          <w:sz w:val="23"/>
        </w:rPr>
      </w:pPr>
    </w:p>
    <w:p w14:paraId="0E056B91" w14:textId="3DF2822E" w:rsidR="00BD1A26" w:rsidRDefault="002E6CBD" w:rsidP="00A041AE">
      <w:pPr>
        <w:widowControl w:val="0"/>
        <w:spacing w:line="240" w:lineRule="auto"/>
        <w:ind w:left="99" w:right="567"/>
        <w:jc w:val="both"/>
        <w:rPr>
          <w:rFonts w:ascii="Arial" w:eastAsia="Arial" w:hAnsi="Arial" w:cs="Arial"/>
          <w:color w:val="000000"/>
          <w:position w:val="6"/>
          <w:sz w:val="15"/>
          <w:szCs w:val="15"/>
        </w:rPr>
      </w:pPr>
      <w:r>
        <w:rPr>
          <w:rFonts w:ascii="Arial" w:hAnsi="Arial"/>
          <w:color w:val="000000"/>
          <w:sz w:val="23"/>
        </w:rPr>
        <w:t>Plusieurs facteurs expliquent les retards actuels qui contraignent les parties à attendre sept à douze mois pour que leur demande soit examinée. Il s’agit entre autres de plusieurs années d’audiences à distance uniquement</w:t>
      </w:r>
      <w:hyperlink w:anchor="_page_300_0">
        <w:r>
          <w:rPr>
            <w:rFonts w:ascii="Arial" w:hAnsi="Arial"/>
            <w:color w:val="000000"/>
            <w:sz w:val="15"/>
          </w:rPr>
          <w:t>1</w:t>
        </w:r>
      </w:hyperlink>
      <w:r w:rsidR="008554F9">
        <w:rPr>
          <w:rStyle w:val="Appelnotedebasdep"/>
          <w:rFonts w:ascii="Arial" w:hAnsi="Arial"/>
          <w:color w:val="000000"/>
          <w:sz w:val="23"/>
        </w:rPr>
        <w:footnoteReference w:id="1"/>
      </w:r>
      <w:r>
        <w:rPr>
          <w:rFonts w:ascii="Arial" w:hAnsi="Arial"/>
          <w:color w:val="000000"/>
          <w:sz w:val="23"/>
        </w:rPr>
        <w:t>, de la suppression des services de guichets en personne,</w:t>
      </w:r>
      <w:r w:rsidR="008554F9">
        <w:rPr>
          <w:rFonts w:ascii="Arial" w:hAnsi="Arial"/>
          <w:color w:val="000000"/>
          <w:sz w:val="23"/>
        </w:rPr>
        <w:t xml:space="preserve"> </w:t>
      </w:r>
      <w:bookmarkStart w:id="1" w:name="_page_1_0"/>
      <w:bookmarkEnd w:id="0"/>
      <w:r>
        <w:rPr>
          <w:rFonts w:ascii="Arial" w:hAnsi="Arial"/>
          <w:color w:val="000000"/>
          <w:sz w:val="23"/>
        </w:rPr>
        <w:t xml:space="preserve">de </w:t>
      </w:r>
      <w:r>
        <w:rPr>
          <w:rFonts w:ascii="Arial" w:hAnsi="Arial"/>
          <w:color w:val="000000"/>
          <w:sz w:val="23"/>
        </w:rPr>
        <w:lastRenderedPageBreak/>
        <w:t>l’exode d’arbitres et d’employés expérimentés de la CLI et de la programmation provinciale des audiences de l’instance qui favorise les grands centres urbains, où le nombre de demandes est plus élevé, au détriment des zones rurales et des petites localités.  Il en résulte également un nombre beaucoup plus important de blocs d’audience créés pour tenir compte de ce nouveau calendrier</w:t>
      </w:r>
      <w:r w:rsidR="00A041AE">
        <w:rPr>
          <w:rStyle w:val="Appelnotedebasdep"/>
          <w:rFonts w:ascii="Arial" w:hAnsi="Arial"/>
          <w:color w:val="000000"/>
          <w:sz w:val="23"/>
        </w:rPr>
        <w:footnoteReference w:id="2"/>
      </w:r>
      <w:r>
        <w:t>.</w:t>
      </w:r>
    </w:p>
    <w:p w14:paraId="00FC5F83" w14:textId="77777777" w:rsidR="00BD1A26" w:rsidRDefault="00BD1A26">
      <w:pPr>
        <w:spacing w:after="24" w:line="240" w:lineRule="exact"/>
        <w:rPr>
          <w:rFonts w:ascii="Arial" w:eastAsia="Arial" w:hAnsi="Arial" w:cs="Arial"/>
          <w:position w:val="6"/>
          <w:sz w:val="24"/>
          <w:szCs w:val="24"/>
        </w:rPr>
      </w:pPr>
    </w:p>
    <w:p w14:paraId="6CE8E327" w14:textId="77777777" w:rsidR="00BD1A26" w:rsidRDefault="002E6CBD">
      <w:pPr>
        <w:widowControl w:val="0"/>
        <w:spacing w:line="239" w:lineRule="auto"/>
        <w:ind w:left="99" w:right="569"/>
        <w:jc w:val="both"/>
        <w:rPr>
          <w:rFonts w:ascii="Arial" w:eastAsia="Arial" w:hAnsi="Arial" w:cs="Arial"/>
          <w:color w:val="000000"/>
          <w:sz w:val="23"/>
          <w:szCs w:val="23"/>
        </w:rPr>
      </w:pPr>
      <w:r>
        <w:rPr>
          <w:rFonts w:ascii="Arial" w:hAnsi="Arial"/>
          <w:color w:val="000000"/>
          <w:sz w:val="23"/>
        </w:rPr>
        <w:t>Les problèmes ont été exacerbés par la décision d’organiser les audiences de la CLI par type de demande. Les demandes multiples concernant la même adresse sont programmées chacune dans leur propre bloc au lieu d’être entendues ensemble. Ce modèle donnait la priorité aux niveaux L1, reléguant les demandes des locataires à plusieurs mois plus tard, au détriment de ces derniers.</w:t>
      </w:r>
    </w:p>
    <w:p w14:paraId="3D5F42B6" w14:textId="77777777" w:rsidR="00BD1A26" w:rsidRDefault="00BD1A26">
      <w:pPr>
        <w:spacing w:after="24" w:line="240" w:lineRule="exact"/>
        <w:rPr>
          <w:rFonts w:ascii="Arial" w:eastAsia="Arial" w:hAnsi="Arial" w:cs="Arial"/>
          <w:sz w:val="24"/>
          <w:szCs w:val="24"/>
        </w:rPr>
      </w:pPr>
    </w:p>
    <w:p w14:paraId="0A8F0295" w14:textId="03D7C3CB" w:rsidR="00BD1A26" w:rsidRDefault="002E6CBD">
      <w:pPr>
        <w:widowControl w:val="0"/>
        <w:spacing w:line="239" w:lineRule="auto"/>
        <w:ind w:left="99" w:right="568"/>
        <w:jc w:val="both"/>
        <w:rPr>
          <w:rFonts w:ascii="Arial" w:eastAsia="Arial" w:hAnsi="Arial" w:cs="Arial"/>
          <w:color w:val="000000"/>
          <w:position w:val="6"/>
          <w:sz w:val="15"/>
          <w:szCs w:val="15"/>
        </w:rPr>
      </w:pPr>
      <w:r>
        <w:rPr>
          <w:rFonts w:ascii="Arial" w:hAnsi="Arial"/>
          <w:color w:val="000000"/>
          <w:sz w:val="23"/>
        </w:rPr>
        <w:t>Avant la pandémie, le processus était régional, les cas se déroulaient principalement en personne, le personnel aux comptoirs était présent et les demandes de tous types étaient programmées ensemble, à l’exception des blocs L1. Les Ontariens recevaient des services d’arbitrage plus efficaces et plus efficients.   En raison des retards existant déjà à l’époque, le Bureau de l’Ombudsman a ouvert une enquête en janvier 2020. Cependant, les délais n’étaient que de sept semaines pour entendre une demande de loca</w:t>
      </w:r>
      <w:r>
        <w:rPr>
          <w:rFonts w:ascii="Arial" w:hAnsi="Arial"/>
          <w:color w:val="000000"/>
          <w:sz w:val="23"/>
        </w:rPr>
        <w:t>teur et de neuf pour les locataires, or, le temps d’attente actuel est de plus de sept mois</w:t>
      </w:r>
      <w:r w:rsidR="00A041AE">
        <w:rPr>
          <w:rStyle w:val="Appelnotedebasdep"/>
          <w:rFonts w:ascii="Arial" w:hAnsi="Arial"/>
          <w:color w:val="000000"/>
          <w:sz w:val="23"/>
        </w:rPr>
        <w:footnoteReference w:id="3"/>
      </w:r>
      <w:r>
        <w:t>.</w:t>
      </w:r>
    </w:p>
    <w:p w14:paraId="2B62C607" w14:textId="77777777" w:rsidR="00BD1A26" w:rsidRDefault="00BD1A26">
      <w:pPr>
        <w:spacing w:after="26" w:line="240" w:lineRule="exact"/>
        <w:rPr>
          <w:rFonts w:ascii="Arial" w:eastAsia="Arial" w:hAnsi="Arial" w:cs="Arial"/>
          <w:position w:val="6"/>
          <w:sz w:val="24"/>
          <w:szCs w:val="24"/>
        </w:rPr>
      </w:pPr>
    </w:p>
    <w:p w14:paraId="0753C15B" w14:textId="77777777" w:rsidR="00BD1A26" w:rsidRDefault="002E6CBD">
      <w:pPr>
        <w:widowControl w:val="0"/>
        <w:spacing w:line="239" w:lineRule="auto"/>
        <w:ind w:left="98" w:right="567"/>
        <w:jc w:val="both"/>
        <w:rPr>
          <w:rFonts w:ascii="Arial" w:eastAsia="Arial" w:hAnsi="Arial" w:cs="Arial"/>
          <w:color w:val="000000"/>
          <w:sz w:val="23"/>
          <w:szCs w:val="23"/>
        </w:rPr>
      </w:pPr>
      <w:r>
        <w:rPr>
          <w:rFonts w:ascii="Arial" w:hAnsi="Arial"/>
          <w:color w:val="000000"/>
          <w:sz w:val="23"/>
        </w:rPr>
        <w:t xml:space="preserve">Le CCJML recommande à la CLI de reconsidérer le retour des audiences en personne et de la planification régionale. Ainsi, les parties auraient un meilleur accès aux soutiens locaux, les cas seraient entendus plus rapidement et toutes les personnes concernées auraient un meilleur accès à la justice. Nous appuyons fermement la proposition du Centre ontarien de défense des droits des locataires de fixer un calendrier régional plutôt que d’étendre les blocs d’audience aux soirs et aux week-ends. Voici quelques </w:t>
      </w:r>
      <w:r>
        <w:rPr>
          <w:rFonts w:ascii="Arial" w:hAnsi="Arial"/>
          <w:color w:val="000000"/>
          <w:sz w:val="23"/>
        </w:rPr>
        <w:t>avantages :</w:t>
      </w:r>
    </w:p>
    <w:p w14:paraId="332D6620" w14:textId="77777777" w:rsidR="00BD1A26" w:rsidRDefault="00BD1A26">
      <w:pPr>
        <w:spacing w:after="27" w:line="240" w:lineRule="exact"/>
        <w:rPr>
          <w:rFonts w:ascii="Arial" w:eastAsia="Arial" w:hAnsi="Arial" w:cs="Arial"/>
          <w:sz w:val="24"/>
          <w:szCs w:val="24"/>
        </w:rPr>
      </w:pPr>
    </w:p>
    <w:p w14:paraId="6FB39797" w14:textId="77777777" w:rsidR="00BD1A26" w:rsidRDefault="002E6CBD">
      <w:pPr>
        <w:widowControl w:val="0"/>
        <w:spacing w:line="239" w:lineRule="auto"/>
        <w:ind w:left="1270" w:right="529" w:hanging="359"/>
        <w:rPr>
          <w:rFonts w:ascii="Arial" w:eastAsia="Arial" w:hAnsi="Arial" w:cs="Arial"/>
          <w:color w:val="000000"/>
          <w:sz w:val="23"/>
          <w:szCs w:val="23"/>
        </w:rPr>
      </w:pPr>
      <w:r>
        <w:rPr>
          <w:rFonts w:ascii="Arial" w:hAnsi="Arial"/>
          <w:color w:val="000000"/>
          <w:sz w:val="23"/>
        </w:rPr>
        <w:t>a. Prévenir les expulsions en veillant à ce que les locataires puissent entrer en contact avec les services d’aide locaux et les organismes juridiques communautaires qui peuvent les aider à conserver leur logement.</w:t>
      </w:r>
    </w:p>
    <w:p w14:paraId="57CB5E03" w14:textId="77777777" w:rsidR="00BD1A26" w:rsidRDefault="00BD1A26">
      <w:pPr>
        <w:spacing w:line="240" w:lineRule="exact"/>
        <w:rPr>
          <w:rFonts w:ascii="Arial" w:eastAsia="Arial" w:hAnsi="Arial" w:cs="Arial"/>
          <w:sz w:val="24"/>
          <w:szCs w:val="24"/>
        </w:rPr>
      </w:pPr>
    </w:p>
    <w:p w14:paraId="2FE27122" w14:textId="77777777" w:rsidR="00BD1A26" w:rsidRDefault="00BD1A26">
      <w:pPr>
        <w:spacing w:line="240" w:lineRule="exact"/>
        <w:rPr>
          <w:rFonts w:ascii="Arial" w:eastAsia="Arial" w:hAnsi="Arial" w:cs="Arial"/>
          <w:sz w:val="24"/>
          <w:szCs w:val="24"/>
        </w:rPr>
      </w:pPr>
    </w:p>
    <w:p w14:paraId="1D1AE93D" w14:textId="77777777" w:rsidR="00BD1A26" w:rsidRDefault="00BD1A26">
      <w:pPr>
        <w:spacing w:line="240" w:lineRule="exact"/>
        <w:rPr>
          <w:rFonts w:ascii="Arial" w:eastAsia="Arial" w:hAnsi="Arial" w:cs="Arial"/>
          <w:sz w:val="24"/>
          <w:szCs w:val="24"/>
        </w:rPr>
      </w:pPr>
    </w:p>
    <w:p w14:paraId="2C72925E" w14:textId="77777777" w:rsidR="00BD1A26" w:rsidRDefault="00BD1A26">
      <w:pPr>
        <w:spacing w:after="64" w:line="240" w:lineRule="exact"/>
        <w:rPr>
          <w:rFonts w:ascii="Arial" w:eastAsia="Arial" w:hAnsi="Arial" w:cs="Arial"/>
          <w:sz w:val="24"/>
          <w:szCs w:val="24"/>
        </w:rPr>
      </w:pPr>
    </w:p>
    <w:p w14:paraId="31D9F679" w14:textId="77777777" w:rsidR="00BD1A26" w:rsidRPr="008554F9" w:rsidRDefault="00BD1A26">
      <w:pPr>
        <w:spacing w:after="8" w:line="220" w:lineRule="exact"/>
        <w:rPr>
          <w:rFonts w:ascii="Arial" w:eastAsia="Arial" w:hAnsi="Arial" w:cs="Arial"/>
          <w:lang w:val="en-CA"/>
        </w:rPr>
      </w:pPr>
    </w:p>
    <w:p w14:paraId="0ED46A09" w14:textId="52994C68" w:rsidR="00BD1A26" w:rsidRDefault="002E6CBD" w:rsidP="00A041AE">
      <w:pPr>
        <w:widowControl w:val="0"/>
        <w:spacing w:line="240" w:lineRule="auto"/>
        <w:ind w:left="98" w:right="-20"/>
        <w:rPr>
          <w:rFonts w:ascii="Arial" w:eastAsia="Arial" w:hAnsi="Arial" w:cs="Arial"/>
          <w:color w:val="000000"/>
          <w:sz w:val="20"/>
          <w:szCs w:val="20"/>
        </w:rPr>
      </w:pPr>
      <w:r>
        <w:rPr>
          <w:noProof/>
        </w:rPr>
        <mc:AlternateContent>
          <mc:Choice Requires="wps">
            <w:drawing>
              <wp:anchor distT="0" distB="0" distL="114300" distR="114300" simplePos="0" relativeHeight="251665920" behindDoc="1" locked="0" layoutInCell="0" allowOverlap="1" wp14:anchorId="77FA08C3" wp14:editId="4E2F248E">
                <wp:simplePos x="0" y="0"/>
                <wp:positionH relativeFrom="page">
                  <wp:posOffset>5076444</wp:posOffset>
                </wp:positionH>
                <wp:positionV relativeFrom="paragraph">
                  <wp:posOffset>138003</wp:posOffset>
                </wp:positionV>
                <wp:extent cx="798576" cy="0"/>
                <wp:effectExtent l="0" t="0" r="0" b="0"/>
                <wp:wrapNone/>
                <wp:docPr id="5" name="drawingObject5"/>
                <wp:cNvGraphicFramePr/>
                <a:graphic xmlns:a="http://schemas.openxmlformats.org/drawingml/2006/main">
                  <a:graphicData uri="http://schemas.microsoft.com/office/word/2010/wordprocessingShape">
                    <wps:wsp>
                      <wps:cNvSpPr/>
                      <wps:spPr>
                        <a:xfrm>
                          <a:off x="0" y="0"/>
                          <a:ext cx="798576" cy="0"/>
                        </a:xfrm>
                        <a:custGeom>
                          <a:avLst/>
                          <a:gdLst/>
                          <a:ahLst/>
                          <a:cxnLst/>
                          <a:rect l="0" t="0" r="0" b="0"/>
                          <a:pathLst>
                            <a:path w="798576">
                              <a:moveTo>
                                <a:pt x="0" y="0"/>
                              </a:moveTo>
                              <a:lnTo>
                                <a:pt x="798576" y="0"/>
                              </a:lnTo>
                            </a:path>
                          </a:pathLst>
                        </a:custGeom>
                        <a:noFill/>
                        <a:ln w="9144" cap="flat">
                          <a:solidFill>
                            <a:srgbClr val="0562C1"/>
                          </a:solidFill>
                          <a:prstDash val="solid"/>
                        </a:ln>
                      </wps:spPr>
                      <wps:bodyPr vertOverflow="overflow" horzOverflow="overflow" vert="horz" lIns="91440" tIns="45720" rIns="91440" bIns="45720" anchor="t"/>
                    </wps:wsp>
                  </a:graphicData>
                </a:graphic>
              </wp:anchor>
            </w:drawing>
          </mc:Choice>
          <mc:Fallback>
            <w:pict>
              <v:shape w14:anchorId="6AC37137" id="drawingObject5" o:spid="_x0000_s1026" style="position:absolute;margin-left:399.7pt;margin-top:10.85pt;width:62.9pt;height:0;z-index:-251650560;visibility:visible;mso-wrap-style:square;mso-wrap-distance-left:9pt;mso-wrap-distance-top:0;mso-wrap-distance-right:9pt;mso-wrap-distance-bottom:0;mso-position-horizontal:absolute;mso-position-horizontal-relative:page;mso-position-vertical:absolute;mso-position-vertical-relative:text;v-text-anchor:top" coordsize="798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8Rs8gEAADwEAAAOAAAAZHJzL2Uyb0RvYy54bWysU01vGyEQvVfqf0Dc67UtfyQr7+YQK1Wl&#10;qomU9AdgFrwrsQwayK7dX98Be+1tEvVQ9QIPZni8Nwybu0NrWKfQN2ALPptMOVNWQtXYfcF/vjx8&#10;ueHMB2ErYcCqgh+V53fl50+b3uVqDjWYSiEjEuvz3hW8DsHlWeZlrVrhJ+CUpaAGbEWgJe6zCkVP&#10;7K3J5tPpKusBK4cglfe0uz0FeZn4tVYyPGrtVWCm4KQtpBHTuItjVm5Evkfh6kaeZYh/UNGKxtKl&#10;F6qtCIK9YvOOqm0kggcdJhLaDLRupEoeyM1s+sbNcy2cSl6oON5dyuT/H6380T27J6Qy9M7nnmB0&#10;cdDYxpn0sUMq1vFSLHUITNLm+vZmuV5xJodQdj0nX334qiBxiO67D6cyVwMS9YDkwQ4Q6bH++kxO&#10;hHguCouQ9RcRcauFTr1ACoY3oknZNWrsOGtwMTJxSqAz8ZJycwbpYsJjaxYeGmOSN2OjnNvZYkEV&#10;EdTI2oiQOsKDaaqYF6V53O/uDbJOxH5crub3s9iCxPtHmkMftsLXp7wUOqcZS9nXp4poB9XxiSgV&#10;hkcatAFSQsVIiLMa8NdH+zGf+oiinJlvlnoqqo9/JC0Wy/WcFjiO7MYRYSUdLnhIyqIQatFk5fyd&#10;4h8Yr5Pw66cvfwMAAP//AwBQSwMEFAAGAAgAAAAhAJnLt//dAAAACQEAAA8AAABkcnMvZG93bnJl&#10;di54bWxMj8FOwzAMhu9IvENkJC6IpasKW0vTaQKxC9qBsQfwGtNWJE7VZG339gRxgKPtT7+/v9zM&#10;1oiRBt85VrBcJCCIa6c7bhQcP17v1yB8QNZoHJOCC3nYVNdXJRbaTfxO4yE0IoawL1BBG0JfSOnr&#10;liz6heuJ4+3TDRZDHIdG6gGnGG6NTJPkUVrsOH5osafnluqvw9kqGPcvb3fDjgPO2dRlu625GDJK&#10;3d7M2ycQgebwB8OPflSHKjqd3Jm1F0bBKs+ziCpIlysQEcjThxTE6Xchq1L+b1B9AwAA//8DAFBL&#10;AQItABQABgAIAAAAIQC2gziS/gAAAOEBAAATAAAAAAAAAAAAAAAAAAAAAABbQ29udGVudF9UeXBl&#10;c10ueG1sUEsBAi0AFAAGAAgAAAAhADj9If/WAAAAlAEAAAsAAAAAAAAAAAAAAAAALwEAAF9yZWxz&#10;Ly5yZWxzUEsBAi0AFAAGAAgAAAAhAMG/xGzyAQAAPAQAAA4AAAAAAAAAAAAAAAAALgIAAGRycy9l&#10;Mm9Eb2MueG1sUEsBAi0AFAAGAAgAAAAhAJnLt//dAAAACQEAAA8AAAAAAAAAAAAAAAAATAQAAGRy&#10;cy9kb3ducmV2LnhtbFBLBQYAAAAABAAEAPMAAABWBQAAAAA=&#10;" o:allowincell="f" path="m,l798576,e" filled="f" strokecolor="#0562c1" strokeweight=".72pt">
                <v:path arrowok="t" textboxrect="0,0,798576,0"/>
                <w10:wrap anchorx="page"/>
              </v:shape>
            </w:pict>
          </mc:Fallback>
        </mc:AlternateContent>
      </w:r>
      <w:r>
        <w:rPr>
          <w:rFonts w:ascii="Arial" w:hAnsi="Arial"/>
          <w:color w:val="000000"/>
          <w:sz w:val="13"/>
        </w:rPr>
        <w:t xml:space="preserve">2 </w:t>
      </w:r>
    </w:p>
    <w:p w14:paraId="7CBE46B7" w14:textId="58E5EF8F" w:rsidR="00BD1A26" w:rsidRDefault="00BD1A26">
      <w:pPr>
        <w:spacing w:after="63" w:line="240" w:lineRule="exact"/>
        <w:rPr>
          <w:sz w:val="24"/>
          <w:szCs w:val="24"/>
        </w:rPr>
      </w:pPr>
      <w:bookmarkStart w:id="2" w:name="_page_4_0"/>
      <w:bookmarkEnd w:id="1"/>
    </w:p>
    <w:p w14:paraId="2AABD5AA" w14:textId="77777777" w:rsidR="00BD1A26" w:rsidRDefault="002E6CBD">
      <w:pPr>
        <w:widowControl w:val="0"/>
        <w:spacing w:line="239" w:lineRule="auto"/>
        <w:ind w:left="1270" w:right="568" w:hanging="359"/>
        <w:jc w:val="both"/>
        <w:rPr>
          <w:rFonts w:ascii="Arial" w:eastAsia="Arial" w:hAnsi="Arial" w:cs="Arial"/>
          <w:color w:val="000000"/>
          <w:sz w:val="23"/>
          <w:szCs w:val="23"/>
        </w:rPr>
      </w:pPr>
      <w:r>
        <w:rPr>
          <w:rFonts w:ascii="Arial" w:hAnsi="Arial"/>
          <w:color w:val="000000"/>
          <w:sz w:val="23"/>
        </w:rPr>
        <w:t>b. Réduire les retards et les dépenses de la Commission en regroupant les cas, en facilitant un plus grand nombre de résolutions à l’amiable et en utilisant les blocs d’audience de manière plus efficace.</w:t>
      </w:r>
    </w:p>
    <w:p w14:paraId="1D30A5EA" w14:textId="77777777" w:rsidR="00BD1A26" w:rsidRDefault="00BD1A26">
      <w:pPr>
        <w:spacing w:after="27" w:line="240" w:lineRule="exact"/>
        <w:rPr>
          <w:rFonts w:ascii="Arial" w:eastAsia="Arial" w:hAnsi="Arial" w:cs="Arial"/>
          <w:sz w:val="24"/>
          <w:szCs w:val="24"/>
        </w:rPr>
      </w:pPr>
    </w:p>
    <w:p w14:paraId="6E59BC99" w14:textId="77777777" w:rsidR="00BD1A26" w:rsidRDefault="002E6CBD">
      <w:pPr>
        <w:widowControl w:val="0"/>
        <w:spacing w:line="239" w:lineRule="auto"/>
        <w:ind w:left="98" w:right="525"/>
        <w:rPr>
          <w:rFonts w:ascii="Arial" w:eastAsia="Arial" w:hAnsi="Arial" w:cs="Arial"/>
          <w:color w:val="000000"/>
          <w:sz w:val="23"/>
          <w:szCs w:val="23"/>
        </w:rPr>
      </w:pPr>
      <w:r>
        <w:rPr>
          <w:rFonts w:ascii="Arial" w:hAnsi="Arial"/>
          <w:color w:val="000000"/>
          <w:sz w:val="23"/>
        </w:rPr>
        <w:t>La CLI devrait privilégier un plan régional de programmation et fournir aux parties prenantes un calendrier pour sa mise en œuvre.</w:t>
      </w:r>
    </w:p>
    <w:p w14:paraId="03A53B70" w14:textId="77777777" w:rsidR="00BD1A26" w:rsidRDefault="00BD1A26">
      <w:pPr>
        <w:spacing w:after="21" w:line="240" w:lineRule="exact"/>
        <w:rPr>
          <w:rFonts w:ascii="Arial" w:eastAsia="Arial" w:hAnsi="Arial" w:cs="Arial"/>
          <w:sz w:val="24"/>
          <w:szCs w:val="24"/>
        </w:rPr>
      </w:pPr>
    </w:p>
    <w:p w14:paraId="74E5E2EB" w14:textId="77777777" w:rsidR="00BD1A26" w:rsidRDefault="002E6CBD">
      <w:pPr>
        <w:widowControl w:val="0"/>
        <w:spacing w:line="240" w:lineRule="auto"/>
        <w:ind w:left="98" w:right="-20"/>
        <w:rPr>
          <w:rFonts w:ascii="Arial" w:eastAsia="Arial" w:hAnsi="Arial" w:cs="Arial"/>
          <w:b/>
          <w:bCs/>
          <w:color w:val="000000"/>
          <w:sz w:val="23"/>
          <w:szCs w:val="23"/>
        </w:rPr>
      </w:pPr>
      <w:r>
        <w:rPr>
          <w:rFonts w:ascii="Arial" w:hAnsi="Arial"/>
          <w:b/>
          <w:color w:val="000000"/>
          <w:sz w:val="23"/>
        </w:rPr>
        <w:t>Commentaires supplémentaires sur la proposition d’audiences en soirée et la fin de semaine</w:t>
      </w:r>
    </w:p>
    <w:p w14:paraId="323F4A28" w14:textId="77777777" w:rsidR="00BD1A26" w:rsidRDefault="00BD1A26">
      <w:pPr>
        <w:spacing w:after="28" w:line="240" w:lineRule="exact"/>
        <w:rPr>
          <w:rFonts w:ascii="Arial" w:eastAsia="Arial" w:hAnsi="Arial" w:cs="Arial"/>
          <w:sz w:val="24"/>
          <w:szCs w:val="24"/>
        </w:rPr>
      </w:pPr>
    </w:p>
    <w:p w14:paraId="410CB2E1" w14:textId="77777777" w:rsidR="00BD1A26" w:rsidRDefault="002E6CBD">
      <w:pPr>
        <w:widowControl w:val="0"/>
        <w:spacing w:line="239" w:lineRule="auto"/>
        <w:ind w:left="98" w:right="527"/>
        <w:rPr>
          <w:rFonts w:ascii="Arial" w:eastAsia="Arial" w:hAnsi="Arial" w:cs="Arial"/>
          <w:color w:val="000000"/>
          <w:sz w:val="23"/>
          <w:szCs w:val="23"/>
        </w:rPr>
      </w:pPr>
      <w:r>
        <w:rPr>
          <w:rFonts w:ascii="Arial" w:hAnsi="Arial"/>
          <w:color w:val="000000"/>
          <w:sz w:val="23"/>
        </w:rPr>
        <w:t>Si elle décide d’organiser des audiences en soirée et en fin de semaine, la CLI doit prendre en considération les éléments suivants :</w:t>
      </w:r>
    </w:p>
    <w:p w14:paraId="1F372D1E" w14:textId="77777777" w:rsidR="00BD1A26" w:rsidRDefault="00BD1A26">
      <w:pPr>
        <w:spacing w:after="24" w:line="240" w:lineRule="exact"/>
        <w:rPr>
          <w:rFonts w:ascii="Arial" w:eastAsia="Arial" w:hAnsi="Arial" w:cs="Arial"/>
          <w:sz w:val="24"/>
          <w:szCs w:val="24"/>
        </w:rPr>
      </w:pPr>
    </w:p>
    <w:p w14:paraId="22CAA766" w14:textId="77777777" w:rsidR="00BD1A26" w:rsidRDefault="002E6CBD">
      <w:pPr>
        <w:widowControl w:val="0"/>
        <w:spacing w:line="240" w:lineRule="auto"/>
        <w:ind w:left="98" w:right="-20"/>
        <w:rPr>
          <w:rFonts w:ascii="Arial" w:eastAsia="Arial" w:hAnsi="Arial" w:cs="Arial"/>
          <w:color w:val="000000"/>
          <w:sz w:val="23"/>
          <w:szCs w:val="23"/>
        </w:rPr>
      </w:pPr>
      <w:r>
        <w:rPr>
          <w:rFonts w:ascii="Arial" w:hAnsi="Arial"/>
          <w:color w:val="000000"/>
          <w:sz w:val="23"/>
        </w:rPr>
        <w:t>1.  Audiences sur consentement des parties et pour des questions urgentes de prime abord</w:t>
      </w:r>
    </w:p>
    <w:p w14:paraId="5384C32E" w14:textId="77777777" w:rsidR="00BD1A26" w:rsidRDefault="00BD1A26">
      <w:pPr>
        <w:spacing w:after="26" w:line="240" w:lineRule="exact"/>
        <w:rPr>
          <w:rFonts w:ascii="Arial" w:eastAsia="Arial" w:hAnsi="Arial" w:cs="Arial"/>
          <w:sz w:val="24"/>
          <w:szCs w:val="24"/>
        </w:rPr>
      </w:pPr>
    </w:p>
    <w:p w14:paraId="27408E5C" w14:textId="77777777" w:rsidR="00BD1A26" w:rsidRDefault="002E6CBD">
      <w:pPr>
        <w:widowControl w:val="0"/>
        <w:spacing w:line="239" w:lineRule="auto"/>
        <w:ind w:left="458" w:right="567"/>
        <w:jc w:val="both"/>
        <w:rPr>
          <w:rFonts w:ascii="Arial" w:eastAsia="Arial" w:hAnsi="Arial" w:cs="Arial"/>
          <w:color w:val="000000"/>
          <w:sz w:val="23"/>
          <w:szCs w:val="23"/>
        </w:rPr>
      </w:pPr>
      <w:r>
        <w:rPr>
          <w:rFonts w:ascii="Arial" w:hAnsi="Arial"/>
          <w:color w:val="000000"/>
          <w:sz w:val="23"/>
        </w:rPr>
        <w:t>Les audiences en soirée et le week-end ne doivent être programmées qu’avec l’accord des parties (à l’exception des requêtes ex-parte) et pour des requêtes qui nécessitent des décisions immédiates, par exemple lorsque l’exécution par le shérif est imminente ou encore pour réintégrer un locataire ou interdire à un locateur de relouer un logement après une expulsion illégale.</w:t>
      </w:r>
    </w:p>
    <w:p w14:paraId="72A2204F" w14:textId="77777777" w:rsidR="00BD1A26" w:rsidRDefault="00BD1A26">
      <w:pPr>
        <w:spacing w:after="27" w:line="240" w:lineRule="exact"/>
        <w:rPr>
          <w:rFonts w:ascii="Arial" w:eastAsia="Arial" w:hAnsi="Arial" w:cs="Arial"/>
          <w:sz w:val="24"/>
          <w:szCs w:val="24"/>
        </w:rPr>
      </w:pPr>
    </w:p>
    <w:p w14:paraId="50BE5C14" w14:textId="77777777" w:rsidR="00BD1A26" w:rsidRDefault="002E6CBD">
      <w:pPr>
        <w:widowControl w:val="0"/>
        <w:spacing w:line="239" w:lineRule="auto"/>
        <w:ind w:left="458" w:right="567"/>
        <w:jc w:val="both"/>
        <w:rPr>
          <w:rFonts w:ascii="Arial" w:eastAsia="Arial" w:hAnsi="Arial" w:cs="Arial"/>
          <w:color w:val="000000"/>
          <w:sz w:val="23"/>
          <w:szCs w:val="23"/>
        </w:rPr>
      </w:pPr>
      <w:r>
        <w:rPr>
          <w:rFonts w:ascii="Arial" w:hAnsi="Arial"/>
          <w:color w:val="000000"/>
          <w:sz w:val="23"/>
        </w:rPr>
        <w:t xml:space="preserve">Lors de la consultation des parties prenantes, la CLI a proposé que les autorisations et les cas urgents soient programmés dans ces nouveaux blocs. Nous recommandons à l’instance de définir précisément ce qui est considéré comme urgent. Certains pourraient soutenir que les demandes relatives à des actes illégaux devraient être considérées comme des cas urgents, cependant, en vertu de la </w:t>
      </w:r>
      <w:r>
        <w:rPr>
          <w:rFonts w:ascii="Arial" w:hAnsi="Arial"/>
          <w:i/>
          <w:color w:val="000000"/>
          <w:sz w:val="23"/>
        </w:rPr>
        <w:t>Loi de 2006 sur la location à usage d’habitation</w:t>
      </w:r>
      <w:r>
        <w:rPr>
          <w:rFonts w:ascii="Arial" w:hAnsi="Arial"/>
          <w:color w:val="000000"/>
          <w:sz w:val="23"/>
        </w:rPr>
        <w:t>, de tels actes peuvent aller d’une activité criminelle à des allégations selon lesquelles un locataire a installé une antenne parabolique sans l’autorisation du locateur. De même, les demandes relatives à l’atteinte à la sécurité ou au bruit excessif peuvent inclure des allégations allant de questions triviales à des allégations plus sérieuses. Par ailleurs, le comportement présumé du locataire peut être motivé par des considérations sous-jacentes liées aux d</w:t>
      </w:r>
      <w:r>
        <w:rPr>
          <w:rFonts w:ascii="Arial" w:hAnsi="Arial"/>
          <w:color w:val="000000"/>
          <w:sz w:val="23"/>
        </w:rPr>
        <w:t>roits de la personne.</w:t>
      </w:r>
    </w:p>
    <w:p w14:paraId="31DF3BF7" w14:textId="77777777" w:rsidR="00BD1A26" w:rsidRDefault="00BD1A26">
      <w:pPr>
        <w:spacing w:after="26" w:line="240" w:lineRule="exact"/>
        <w:rPr>
          <w:rFonts w:ascii="Arial" w:eastAsia="Arial" w:hAnsi="Arial" w:cs="Arial"/>
          <w:sz w:val="24"/>
          <w:szCs w:val="24"/>
        </w:rPr>
      </w:pPr>
    </w:p>
    <w:p w14:paraId="5C0C3E42" w14:textId="77777777" w:rsidR="00BD1A26" w:rsidRDefault="002E6CBD">
      <w:pPr>
        <w:widowControl w:val="0"/>
        <w:spacing w:line="239" w:lineRule="auto"/>
        <w:ind w:left="458" w:right="567"/>
        <w:jc w:val="both"/>
        <w:rPr>
          <w:rFonts w:ascii="Arial" w:eastAsia="Arial" w:hAnsi="Arial" w:cs="Arial"/>
          <w:color w:val="000000"/>
          <w:sz w:val="23"/>
          <w:szCs w:val="23"/>
        </w:rPr>
      </w:pPr>
      <w:r>
        <w:rPr>
          <w:rFonts w:ascii="Arial" w:hAnsi="Arial"/>
          <w:color w:val="000000"/>
          <w:sz w:val="23"/>
        </w:rPr>
        <w:t>L’éventail des interprétations possibles de la notion d’urgence est beaucoup plus limité dans les demandes déposées par des locataires concernant des expulsions illégales, lorsqu’un locateur refuse de fournir un service essentiel, ou dans les demandes de sursis pour suspendre l’exécution imminente d’une ordonnance d’expulsion ou une demande d’ordonnance provisoire après l’exécution d’une expulsion. Ces types d’audiences pourraient être programmés le soir et le week-end, à condition que le locataire en fasse</w:t>
      </w:r>
      <w:r>
        <w:rPr>
          <w:rFonts w:ascii="Arial" w:hAnsi="Arial"/>
          <w:color w:val="000000"/>
          <w:sz w:val="23"/>
        </w:rPr>
        <w:t xml:space="preserve"> la demande.</w:t>
      </w:r>
    </w:p>
    <w:p w14:paraId="5CBD4769" w14:textId="77777777" w:rsidR="00BD1A26" w:rsidRDefault="00BD1A26">
      <w:pPr>
        <w:spacing w:after="24" w:line="240" w:lineRule="exact"/>
        <w:rPr>
          <w:rFonts w:ascii="Arial" w:eastAsia="Arial" w:hAnsi="Arial" w:cs="Arial"/>
          <w:sz w:val="24"/>
          <w:szCs w:val="24"/>
        </w:rPr>
      </w:pPr>
    </w:p>
    <w:p w14:paraId="64697463" w14:textId="77777777" w:rsidR="00BD1A26" w:rsidRDefault="002E6CBD">
      <w:pPr>
        <w:widowControl w:val="0"/>
        <w:spacing w:line="240" w:lineRule="auto"/>
        <w:ind w:left="98" w:right="-20"/>
        <w:rPr>
          <w:rFonts w:ascii="Arial" w:eastAsia="Arial" w:hAnsi="Arial" w:cs="Arial"/>
          <w:color w:val="000000"/>
          <w:sz w:val="23"/>
          <w:szCs w:val="23"/>
        </w:rPr>
      </w:pPr>
      <w:r>
        <w:rPr>
          <w:rFonts w:ascii="Arial" w:hAnsi="Arial"/>
          <w:color w:val="000000"/>
          <w:sz w:val="23"/>
        </w:rPr>
        <w:t xml:space="preserve">2.  </w:t>
      </w:r>
      <w:r>
        <w:rPr>
          <w:rFonts w:ascii="Arial" w:hAnsi="Arial"/>
          <w:color w:val="000000"/>
          <w:sz w:val="23"/>
        </w:rPr>
        <w:t>La proposition doit être orientée en fonction de l’utilisateur</w:t>
      </w:r>
    </w:p>
    <w:p w14:paraId="3CA2F3B9" w14:textId="77777777" w:rsidR="00BD1A26" w:rsidRDefault="00BD1A26">
      <w:pPr>
        <w:spacing w:after="26" w:line="240" w:lineRule="exact"/>
        <w:rPr>
          <w:rFonts w:ascii="Arial" w:eastAsia="Arial" w:hAnsi="Arial" w:cs="Arial"/>
          <w:sz w:val="24"/>
          <w:szCs w:val="24"/>
        </w:rPr>
      </w:pPr>
    </w:p>
    <w:p w14:paraId="1D363DCE" w14:textId="7F4C1ADC" w:rsidR="002E6CBD" w:rsidRDefault="002E6CBD">
      <w:pPr>
        <w:widowControl w:val="0"/>
        <w:spacing w:line="239" w:lineRule="auto"/>
        <w:ind w:left="458" w:right="567"/>
        <w:jc w:val="both"/>
        <w:rPr>
          <w:rFonts w:ascii="Arial" w:hAnsi="Arial"/>
          <w:color w:val="000000"/>
          <w:sz w:val="23"/>
        </w:rPr>
      </w:pPr>
      <w:r>
        <w:rPr>
          <w:rFonts w:ascii="Arial" w:hAnsi="Arial"/>
          <w:color w:val="000000"/>
          <w:sz w:val="23"/>
        </w:rPr>
        <w:t xml:space="preserve">Il est bien documenté par les locateurs, les locataires et leurs représentants que le passage </w:t>
      </w:r>
    </w:p>
    <w:p w14:paraId="6661B908" w14:textId="2F65E19D" w:rsidR="00BD1A26" w:rsidRPr="002E6CBD" w:rsidRDefault="002E6CBD" w:rsidP="002E6CBD">
      <w:pPr>
        <w:widowControl w:val="0"/>
        <w:spacing w:line="239" w:lineRule="auto"/>
        <w:ind w:left="458" w:right="567"/>
        <w:jc w:val="both"/>
        <w:rPr>
          <w:rFonts w:ascii="Arial" w:eastAsia="Arial" w:hAnsi="Arial" w:cs="Arial"/>
          <w:color w:val="000000"/>
          <w:sz w:val="23"/>
          <w:szCs w:val="23"/>
        </w:rPr>
      </w:pPr>
      <w:r>
        <w:rPr>
          <w:rFonts w:ascii="Arial" w:hAnsi="Arial"/>
          <w:color w:val="000000"/>
          <w:sz w:val="23"/>
        </w:rPr>
        <w:t xml:space="preserve">aux audiences à distance a créé un </w:t>
      </w:r>
      <w:hyperlink r:id="rId14">
        <w:r>
          <w:rPr>
            <w:rFonts w:ascii="Arial" w:hAnsi="Arial"/>
            <w:color w:val="0562C1"/>
            <w:sz w:val="23"/>
          </w:rPr>
          <w:t>fossé numérique</w:t>
        </w:r>
      </w:hyperlink>
      <w:r>
        <w:rPr>
          <w:rStyle w:val="Appelnotedebasdep"/>
          <w:rFonts w:ascii="Arial" w:hAnsi="Arial"/>
          <w:color w:val="0562C1"/>
          <w:sz w:val="23"/>
        </w:rPr>
        <w:footnoteReference w:id="4"/>
      </w:r>
      <w:r>
        <w:rPr>
          <w:rFonts w:ascii="Arial" w:hAnsi="Arial"/>
          <w:color w:val="000000"/>
          <w:sz w:val="23"/>
        </w:rPr>
        <w:t>. Cette situation est plus particulièrement ressentie par les Ontariens ayant un faible revenu, des barrières linguistiques, des problèmes d’alphabétisation et de numératie, un handicap, et vivant dans les communautés rurales et éloignées</w:t>
      </w:r>
      <w:r>
        <w:rPr>
          <w:rStyle w:val="Appelnotedebasdep"/>
          <w:rFonts w:ascii="Arial" w:hAnsi="Arial"/>
          <w:color w:val="000000"/>
          <w:sz w:val="23"/>
        </w:rPr>
        <w:footnoteReference w:id="5"/>
      </w:r>
      <w:r>
        <w:rPr>
          <w:rFonts w:ascii="Arial" w:hAnsi="Arial"/>
          <w:color w:val="000000"/>
          <w:sz w:val="23"/>
        </w:rPr>
        <w:t xml:space="preserve">. Les locataires partagent une plus grande partie de ces caractéristiques que la population en général. Il est aussi plus probable que les locataires aient plus d’un emploi et n’aient pas un horaire de travail régulier (9 h à 17 h). Ils ont donc moins de possibilités </w:t>
      </w:r>
      <w:r>
        <w:rPr>
          <w:rFonts w:ascii="Arial" w:hAnsi="Arial"/>
          <w:color w:val="000000"/>
          <w:sz w:val="23"/>
        </w:rPr>
        <w:t>d’accéder à des programmes après l’école et le week-end pour leurs enfants par rapport aux autres Ontariens.</w:t>
      </w:r>
      <w:bookmarkStart w:id="3" w:name="_page_7_0"/>
      <w:bookmarkEnd w:id="2"/>
      <w:r>
        <w:rPr>
          <w:noProof/>
        </w:rPr>
        <mc:AlternateContent>
          <mc:Choice Requires="wps">
            <w:drawing>
              <wp:anchor distT="0" distB="0" distL="114300" distR="114300" simplePos="0" relativeHeight="251686400" behindDoc="1" locked="0" layoutInCell="0" allowOverlap="1" wp14:anchorId="29F3BA97" wp14:editId="0649FC70">
                <wp:simplePos x="0" y="0"/>
                <wp:positionH relativeFrom="page">
                  <wp:posOffset>1143000</wp:posOffset>
                </wp:positionH>
                <wp:positionV relativeFrom="page">
                  <wp:posOffset>8780533</wp:posOffset>
                </wp:positionV>
                <wp:extent cx="1828800" cy="0"/>
                <wp:effectExtent l="0" t="0" r="0" b="0"/>
                <wp:wrapNone/>
                <wp:docPr id="8" name="drawingObject8"/>
                <wp:cNvGraphicFramePr/>
                <a:graphic xmlns:a="http://schemas.openxmlformats.org/drawingml/2006/main">
                  <a:graphicData uri="http://schemas.microsoft.com/office/word/2010/wordprocessingShape">
                    <wps:wsp>
                      <wps:cNvSpPr/>
                      <wps:spPr>
                        <a:xfrm>
                          <a:off x="0" y="0"/>
                          <a:ext cx="1828800" cy="0"/>
                        </a:xfrm>
                        <a:custGeom>
                          <a:avLst/>
                          <a:gdLst/>
                          <a:ahLst/>
                          <a:cxnLst/>
                          <a:rect l="0" t="0" r="0" b="0"/>
                          <a:pathLst>
                            <a:path w="1828800">
                              <a:moveTo>
                                <a:pt x="0" y="0"/>
                              </a:moveTo>
                              <a:lnTo>
                                <a:pt x="1828800" y="0"/>
                              </a:lnTo>
                            </a:path>
                          </a:pathLst>
                        </a:custGeom>
                        <a:noFill/>
                        <a:ln w="7607"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521A1781" id="drawingObject8" o:spid="_x0000_s1026" style="position:absolute;margin-left:90pt;margin-top:691.4pt;width:2in;height:0;z-index:-251630080;visibility:visible;mso-wrap-style:square;mso-wrap-distance-left:9pt;mso-wrap-distance-top:0;mso-wrap-distance-right:9pt;mso-wrap-distance-bottom:0;mso-position-horizontal:absolute;mso-position-horizontal-relative:page;mso-position-vertical:absolute;mso-position-vertical-relative:page;v-text-anchor:top" coordsize="1828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j4I8QEAAD8EAAAOAAAAZHJzL2Uyb0RvYy54bWysU8tu2zAQvBfoPxC815INN3YFSznUSFGg&#10;aAIk+YA1RVoCKC5BMpLdr++SfkhJix6C6kANucvlzHC5uT10mvXS+RZNyeeznDNpBNat2Zf8+enu&#10;05ozH8DUoNHIkh+l57fVxw+bwRZygQ3qWjpGRYwvBlvyJgRbZJkXjezAz9BKQ0GFroNAU7fPagcD&#10;Ve90tsjzm2xAV1uHQnpPq9tTkFepvlJShHulvAxMl5y4hTS6NO7imFUbKPYObNOKMw14B4sOWkOH&#10;XkttIQB7ce0fpbpWOPSowkxgl6FSrZBJA6mZ52/UPDZgZdJC5nh7tcn/v7LiZ/9oHxzZMFhfeIJR&#10;xUG5Lv6JHzsks45Xs+QhMEGL8/Vivc7JU3GJZeNG8eLDN4mpCPQ/fDj5XF8QNBckDuYCHd3WP+/J&#10;Qoj7IrMI2TCyiGsd9vIJUzS8oU3Uxqg206yrjomMUwZtisdUmzNIRxOeijN412qd1GkTCa1u8hV5&#10;AtTLSkNITeFRt3XMi9y82+++asd6iC2ZvtiFVPdVmnU+bME3p7wUOqdpQ9njbUW0w/r4QCWlC/c0&#10;KI3EhNxIiLMG3a+/rcd8aiWKcqa/G2qrL/PlMj6TNFl+Xi1o4qaR3TQCRtDmkofELBKhLk1Szi8q&#10;PoPpPBEf3331GwAA//8DAFBLAwQUAAYACAAAACEATDX6OtwAAAANAQAADwAAAGRycy9kb3ducmV2&#10;LnhtbExPTUvDQBC9C/6HZQRvdtdaaozZFJHagwehVRBv0+w0CWZnQ3bTxn/veBC9zfvgzXvFavKd&#10;OtIQ28AWrmcGFHEVXMu1hbfXp6sMVEzIDrvAZOGLIqzK87MCcxdOvKXjLtVKQjjmaKFJqc+1jlVD&#10;HuMs9MSiHcLgMQkcau0GPEm47/TcmKX22LJ8aLCnx4aqz93oLdzi5uV5bQ6LOzOOiGn9vtl+sLWX&#10;F9PDPahEU/ozw099qQ6ldNqHkV1UneDMyJYkx002lxFiWSwzofa/lC4L/X9F+Q0AAP//AwBQSwEC&#10;LQAUAAYACAAAACEAtoM4kv4AAADhAQAAEwAAAAAAAAAAAAAAAAAAAAAAW0NvbnRlbnRfVHlwZXNd&#10;LnhtbFBLAQItABQABgAIAAAAIQA4/SH/1gAAAJQBAAALAAAAAAAAAAAAAAAAAC8BAABfcmVscy8u&#10;cmVsc1BLAQItABQABgAIAAAAIQBmQj4I8QEAAD8EAAAOAAAAAAAAAAAAAAAAAC4CAABkcnMvZTJv&#10;RG9jLnhtbFBLAQItABQABgAIAAAAIQBMNfo63AAAAA0BAAAPAAAAAAAAAAAAAAAAAEsEAABkcnMv&#10;ZG93bnJldi54bWxQSwUGAAAAAAQABADzAAAAVAUAAAAA&#10;" o:allowincell="f" path="m,l1828800,e" filled="f" strokeweight=".21131mm">
                <v:path arrowok="t" textboxrect="0,0,1828800,0"/>
                <w10:wrap anchorx="page" anchory="page"/>
              </v:shape>
            </w:pict>
          </mc:Fallback>
        </mc:AlternateContent>
      </w:r>
    </w:p>
    <w:p w14:paraId="4E044A70" w14:textId="77777777" w:rsidR="00BD1A26" w:rsidRDefault="00BD1A26">
      <w:pPr>
        <w:spacing w:after="87" w:line="240" w:lineRule="exact"/>
        <w:rPr>
          <w:sz w:val="24"/>
          <w:szCs w:val="24"/>
        </w:rPr>
      </w:pPr>
    </w:p>
    <w:p w14:paraId="15A87F0F" w14:textId="29C8B72C" w:rsidR="00BD1A26" w:rsidRDefault="002E6CBD">
      <w:pPr>
        <w:widowControl w:val="0"/>
        <w:spacing w:line="239" w:lineRule="auto"/>
        <w:ind w:left="458" w:right="567"/>
        <w:jc w:val="both"/>
        <w:rPr>
          <w:rFonts w:ascii="Arial" w:eastAsia="Arial" w:hAnsi="Arial" w:cs="Arial"/>
          <w:color w:val="000000"/>
          <w:position w:val="6"/>
          <w:sz w:val="15"/>
          <w:szCs w:val="15"/>
        </w:rPr>
      </w:pPr>
      <w:r>
        <w:rPr>
          <w:rFonts w:ascii="Arial" w:hAnsi="Arial"/>
          <w:color w:val="000000"/>
          <w:sz w:val="23"/>
        </w:rPr>
        <w:lastRenderedPageBreak/>
        <w:t>Fixer une audience le soir ou le week-end sans le consentement des parties peut entraîner une augmentation du nombre de cas où les locataires ne sont pas en mesure de participer parce qu’ils travaillent ou ont des responsabilités parentales, en plus des obstacles existants liés au fossé numérique. Nous demandons à la CLI, avant qu’elle n’adopte un tel modèle, de procéder à une analyse complète des usagers afin de mieux les comprendre et de concevoir des initiatives adaptées à leur situation. Il est essentie</w:t>
      </w:r>
      <w:r>
        <w:rPr>
          <w:rFonts w:ascii="Arial" w:hAnsi="Arial"/>
          <w:color w:val="000000"/>
          <w:sz w:val="23"/>
        </w:rPr>
        <w:t>l que cette proposition n’entrave pas davantage leur capacité à accéder à la justice. Une enquête comme celle proposée aux utilisateurs du Tribunal de la sécurité sociale pourrait être très utile à cette fin</w:t>
      </w:r>
      <w:r>
        <w:rPr>
          <w:rStyle w:val="Appelnotedebasdep"/>
          <w:rFonts w:ascii="Arial" w:hAnsi="Arial"/>
          <w:color w:val="000000"/>
          <w:sz w:val="23"/>
        </w:rPr>
        <w:footnoteReference w:id="6"/>
      </w:r>
      <w:r>
        <w:t>.</w:t>
      </w:r>
    </w:p>
    <w:p w14:paraId="7C1F2A27" w14:textId="77777777" w:rsidR="00BD1A26" w:rsidRDefault="00BD1A26">
      <w:pPr>
        <w:spacing w:after="24" w:line="240" w:lineRule="exact"/>
        <w:rPr>
          <w:rFonts w:ascii="Arial" w:eastAsia="Arial" w:hAnsi="Arial" w:cs="Arial"/>
          <w:position w:val="6"/>
          <w:sz w:val="24"/>
          <w:szCs w:val="24"/>
        </w:rPr>
      </w:pPr>
    </w:p>
    <w:p w14:paraId="52A113DA" w14:textId="77777777" w:rsidR="00BD1A26" w:rsidRDefault="002E6CBD">
      <w:pPr>
        <w:widowControl w:val="0"/>
        <w:spacing w:line="240" w:lineRule="auto"/>
        <w:ind w:left="98" w:right="-20"/>
        <w:rPr>
          <w:rFonts w:ascii="Arial" w:eastAsia="Arial" w:hAnsi="Arial" w:cs="Arial"/>
          <w:color w:val="000000"/>
          <w:sz w:val="23"/>
          <w:szCs w:val="23"/>
        </w:rPr>
      </w:pPr>
      <w:r>
        <w:rPr>
          <w:rFonts w:ascii="Arial" w:hAnsi="Arial"/>
          <w:color w:val="000000"/>
          <w:sz w:val="23"/>
        </w:rPr>
        <w:t>3.  Les parties seraient privées de soutiens et de témoins importants</w:t>
      </w:r>
    </w:p>
    <w:p w14:paraId="08836B70" w14:textId="77777777" w:rsidR="00BD1A26" w:rsidRDefault="00BD1A26">
      <w:pPr>
        <w:spacing w:after="26" w:line="240" w:lineRule="exact"/>
        <w:rPr>
          <w:rFonts w:ascii="Arial" w:eastAsia="Arial" w:hAnsi="Arial" w:cs="Arial"/>
          <w:sz w:val="24"/>
          <w:szCs w:val="24"/>
        </w:rPr>
      </w:pPr>
    </w:p>
    <w:p w14:paraId="34BD67FA" w14:textId="77777777" w:rsidR="00BD1A26" w:rsidRDefault="002E6CBD">
      <w:pPr>
        <w:widowControl w:val="0"/>
        <w:spacing w:line="239" w:lineRule="auto"/>
        <w:ind w:left="458" w:right="566"/>
        <w:jc w:val="both"/>
        <w:rPr>
          <w:rFonts w:ascii="Arial" w:eastAsia="Arial" w:hAnsi="Arial" w:cs="Arial"/>
          <w:color w:val="000000"/>
          <w:sz w:val="23"/>
          <w:szCs w:val="23"/>
        </w:rPr>
      </w:pPr>
      <w:r>
        <w:rPr>
          <w:rFonts w:ascii="Arial" w:hAnsi="Arial"/>
          <w:color w:val="000000"/>
          <w:sz w:val="23"/>
        </w:rPr>
        <w:t xml:space="preserve">Les audiences de la CLI en soirée et le week-end auront lieu à des moments où les services de conseil et de représentation juridiques sont moins disponibles pour toutes les parties, ainsi que d’autres services publics dont elles dépendent pour aider à résoudre des enjeux, comme les services de banque de loyer. Les parties auront également moins accès à des témoins experts tels que les inspecteurs des règlements municipaux et d’autres fonctionnaires. Ainsi, la qualité des preuves présentées sera mise à mal. </w:t>
      </w:r>
      <w:r>
        <w:rPr>
          <w:rFonts w:ascii="Arial" w:hAnsi="Arial"/>
          <w:color w:val="000000"/>
          <w:sz w:val="23"/>
        </w:rPr>
        <w:t>Les locataires auraient également beaucoup moins accès aux services communautaires normalement disponibles pendant les heures d’ouverture habituelles. Ces ressources essentielles comprennent des interprètes, des travailleurs en santé mentale et des travailleurs de proximité qui aident les locataires à faire valoir leurs droits lors d’une audience.</w:t>
      </w:r>
    </w:p>
    <w:p w14:paraId="614AB5D0" w14:textId="77777777" w:rsidR="00BD1A26" w:rsidRDefault="00BD1A26">
      <w:pPr>
        <w:spacing w:after="27" w:line="240" w:lineRule="exact"/>
        <w:rPr>
          <w:rFonts w:ascii="Arial" w:eastAsia="Arial" w:hAnsi="Arial" w:cs="Arial"/>
          <w:sz w:val="24"/>
          <w:szCs w:val="24"/>
        </w:rPr>
      </w:pPr>
    </w:p>
    <w:p w14:paraId="0A2DDE28" w14:textId="77777777" w:rsidR="00BD1A26" w:rsidRDefault="002E6CBD">
      <w:pPr>
        <w:widowControl w:val="0"/>
        <w:spacing w:line="240" w:lineRule="auto"/>
        <w:ind w:left="98" w:right="-20"/>
        <w:rPr>
          <w:rFonts w:ascii="Arial" w:eastAsia="Arial" w:hAnsi="Arial" w:cs="Arial"/>
          <w:color w:val="000000"/>
          <w:sz w:val="23"/>
          <w:szCs w:val="23"/>
        </w:rPr>
      </w:pPr>
      <w:r>
        <w:rPr>
          <w:rFonts w:ascii="Arial" w:hAnsi="Arial"/>
          <w:color w:val="000000"/>
          <w:sz w:val="23"/>
        </w:rPr>
        <w:t>4.  Le personnel de la CLI devrait être présent à toutes les audiences</w:t>
      </w:r>
    </w:p>
    <w:p w14:paraId="1CB06619" w14:textId="77777777" w:rsidR="00BD1A26" w:rsidRDefault="00BD1A26">
      <w:pPr>
        <w:spacing w:after="23" w:line="240" w:lineRule="exact"/>
        <w:rPr>
          <w:rFonts w:ascii="Arial" w:eastAsia="Arial" w:hAnsi="Arial" w:cs="Arial"/>
          <w:sz w:val="24"/>
          <w:szCs w:val="24"/>
        </w:rPr>
      </w:pPr>
    </w:p>
    <w:p w14:paraId="36497E16" w14:textId="77777777" w:rsidR="00BD1A26" w:rsidRDefault="002E6CBD">
      <w:pPr>
        <w:widowControl w:val="0"/>
        <w:spacing w:line="239" w:lineRule="auto"/>
        <w:ind w:left="458" w:right="568"/>
        <w:jc w:val="both"/>
        <w:rPr>
          <w:rFonts w:ascii="Arial" w:eastAsia="Arial" w:hAnsi="Arial" w:cs="Arial"/>
          <w:color w:val="000000"/>
          <w:sz w:val="23"/>
          <w:szCs w:val="23"/>
        </w:rPr>
      </w:pPr>
      <w:r>
        <w:rPr>
          <w:rFonts w:ascii="Arial" w:hAnsi="Arial"/>
          <w:color w:val="000000"/>
          <w:sz w:val="23"/>
        </w:rPr>
        <w:t xml:space="preserve">Avant la pandémie, des agents de règlement des différends (ARD) étaient présents dans chaque bloc pour aider les parties à résoudre leurs problèmes le jour de l’audience. Depuis le passage à distance, les ARD ont été limités aux affaires de L1 et les modérateurs n’ont été affectés qu’aux blocs les plus chargés. Par conséquent, la plupart des blocs d’audience ont des arbitres chargés à la fois de statuer sur les différends entre les parties, de fournir une assistance technique et d’accompagner les parties à </w:t>
      </w:r>
      <w:r>
        <w:rPr>
          <w:rFonts w:ascii="Arial" w:hAnsi="Arial"/>
          <w:color w:val="000000"/>
          <w:sz w:val="23"/>
        </w:rPr>
        <w:t>leur entrée et sortie des salles virtuelles.  Cette situation a entraîné des retards et des difficultés supplémentaires pour les parties qui ont du mal à accéder à leur audience.</w:t>
      </w:r>
    </w:p>
    <w:p w14:paraId="3C76E3E4" w14:textId="77777777" w:rsidR="00BD1A26" w:rsidRDefault="00BD1A26">
      <w:pPr>
        <w:spacing w:after="26" w:line="240" w:lineRule="exact"/>
        <w:rPr>
          <w:rFonts w:ascii="Arial" w:eastAsia="Arial" w:hAnsi="Arial" w:cs="Arial"/>
          <w:sz w:val="24"/>
          <w:szCs w:val="24"/>
        </w:rPr>
      </w:pPr>
    </w:p>
    <w:p w14:paraId="381169C3" w14:textId="77777777" w:rsidR="00BD1A26" w:rsidRDefault="002E6CBD">
      <w:pPr>
        <w:widowControl w:val="0"/>
        <w:spacing w:line="239" w:lineRule="auto"/>
        <w:ind w:left="458" w:right="570"/>
        <w:jc w:val="both"/>
        <w:rPr>
          <w:rFonts w:ascii="Arial" w:eastAsia="Arial" w:hAnsi="Arial" w:cs="Arial"/>
          <w:color w:val="000000"/>
          <w:sz w:val="23"/>
          <w:szCs w:val="23"/>
        </w:rPr>
      </w:pPr>
      <w:r>
        <w:rPr>
          <w:rFonts w:ascii="Arial" w:hAnsi="Arial"/>
          <w:color w:val="000000"/>
          <w:sz w:val="23"/>
        </w:rPr>
        <w:t>Toute proposition d’extension à un horaire du soir et du week-end devrait garantir que le personnel de la CLI est disponible pour les parties à chaque audience afin de rétablir les appels interrompus, résoudre les autres problèmes informatiques et faciliter la médiation.</w:t>
      </w:r>
    </w:p>
    <w:p w14:paraId="0F131FB5" w14:textId="77777777" w:rsidR="00BD1A26" w:rsidRDefault="00BD1A26">
      <w:pPr>
        <w:spacing w:after="27" w:line="240" w:lineRule="exact"/>
        <w:rPr>
          <w:rFonts w:ascii="Arial" w:eastAsia="Arial" w:hAnsi="Arial" w:cs="Arial"/>
          <w:sz w:val="24"/>
          <w:szCs w:val="24"/>
        </w:rPr>
      </w:pPr>
    </w:p>
    <w:p w14:paraId="6BB40944" w14:textId="77777777" w:rsidR="00BD1A26" w:rsidRDefault="002E6CBD">
      <w:pPr>
        <w:widowControl w:val="0"/>
        <w:spacing w:line="240" w:lineRule="auto"/>
        <w:ind w:left="98" w:right="-20"/>
        <w:rPr>
          <w:rFonts w:ascii="Arial" w:eastAsia="Arial" w:hAnsi="Arial" w:cs="Arial"/>
          <w:color w:val="000000"/>
          <w:sz w:val="23"/>
          <w:szCs w:val="23"/>
        </w:rPr>
      </w:pPr>
      <w:r>
        <w:rPr>
          <w:rFonts w:ascii="Arial" w:hAnsi="Arial"/>
          <w:color w:val="000000"/>
          <w:sz w:val="23"/>
        </w:rPr>
        <w:t>5.  L’affectation du personnel accompagnateur de la CLI aux parties pour toutes les audiences</w:t>
      </w:r>
    </w:p>
    <w:p w14:paraId="74D45D7A" w14:textId="77777777" w:rsidR="00BD1A26" w:rsidRDefault="00BD1A26">
      <w:pPr>
        <w:spacing w:after="23" w:line="240" w:lineRule="exact"/>
        <w:rPr>
          <w:rFonts w:ascii="Arial" w:eastAsia="Arial" w:hAnsi="Arial" w:cs="Arial"/>
          <w:sz w:val="24"/>
          <w:szCs w:val="24"/>
        </w:rPr>
      </w:pPr>
    </w:p>
    <w:p w14:paraId="12130131" w14:textId="77777777" w:rsidR="00BD1A26" w:rsidRDefault="002E6CBD">
      <w:pPr>
        <w:widowControl w:val="0"/>
        <w:spacing w:line="239" w:lineRule="auto"/>
        <w:ind w:left="459" w:right="568"/>
        <w:jc w:val="both"/>
        <w:rPr>
          <w:rFonts w:ascii="Arial" w:eastAsia="Arial" w:hAnsi="Arial" w:cs="Arial"/>
          <w:color w:val="000000"/>
          <w:sz w:val="23"/>
          <w:szCs w:val="23"/>
        </w:rPr>
      </w:pPr>
      <w:r>
        <w:rPr>
          <w:rFonts w:ascii="Arial" w:hAnsi="Arial"/>
          <w:color w:val="000000"/>
          <w:sz w:val="23"/>
        </w:rPr>
        <w:t>La CLI peut désigner des accompagnateurs pour entrer en contact avec les parties avant l’audience afin de déterminer si elles sont en mesure d’y participer à distance et si un autre format serait plus approprié. Ils informeront également les locataires des services d’un avocat de service en droit du logement et d’autres services communautaires (par exemple, les interprètes) et proposeront des services de médiation avant l’audience.</w:t>
      </w:r>
    </w:p>
    <w:p w14:paraId="700770DB" w14:textId="732B1072" w:rsidR="00BD1A26" w:rsidRDefault="00BD1A26" w:rsidP="002E6CBD">
      <w:pPr>
        <w:widowControl w:val="0"/>
        <w:spacing w:line="240" w:lineRule="auto"/>
        <w:ind w:right="-20"/>
        <w:rPr>
          <w:sz w:val="24"/>
          <w:szCs w:val="24"/>
        </w:rPr>
      </w:pPr>
      <w:bookmarkStart w:id="4" w:name="_page_10_0"/>
      <w:bookmarkEnd w:id="3"/>
    </w:p>
    <w:p w14:paraId="688173F9" w14:textId="7758B237" w:rsidR="00BD1A26" w:rsidRDefault="002E6CBD">
      <w:pPr>
        <w:widowControl w:val="0"/>
        <w:spacing w:line="239" w:lineRule="auto"/>
        <w:ind w:left="456" w:right="568"/>
        <w:jc w:val="both"/>
        <w:rPr>
          <w:rFonts w:ascii="Arial" w:eastAsia="Arial" w:hAnsi="Arial" w:cs="Arial"/>
          <w:color w:val="000000"/>
          <w:sz w:val="23"/>
          <w:szCs w:val="23"/>
        </w:rPr>
      </w:pPr>
      <w:r>
        <w:rPr>
          <w:rFonts w:ascii="Arial" w:hAnsi="Arial"/>
          <w:color w:val="000000"/>
          <w:sz w:val="23"/>
        </w:rPr>
        <w:t>Ce programme serait similaire au programme d’accompagnateurs du Tribunal de la sécurité sociale</w:t>
      </w:r>
      <w:r>
        <w:rPr>
          <w:rStyle w:val="Appelnotedebasdep"/>
          <w:rFonts w:ascii="Arial" w:hAnsi="Arial"/>
          <w:color w:val="000000"/>
          <w:sz w:val="23"/>
        </w:rPr>
        <w:footnoteReference w:id="7"/>
      </w:r>
      <w:r>
        <w:rPr>
          <w:rFonts w:ascii="Arial" w:hAnsi="Arial"/>
          <w:color w:val="000000"/>
          <w:sz w:val="23"/>
        </w:rPr>
        <w:t xml:space="preserve">. Il a révélé que les parties demanderesses qui recevaient « des renseignements et des conseils assortis de délais précis devraient être mieux préparées. Celles qui sont bien préparées devraient pouvoir signaler plus tôt et en plus grand nombre qu’elles sont prêtes pour leur audience. Lorsque ces personnes interagissent avec les membres pour la première fois, </w:t>
      </w:r>
      <w:r>
        <w:rPr>
          <w:rFonts w:ascii="Arial" w:hAnsi="Arial"/>
          <w:color w:val="000000"/>
          <w:sz w:val="23"/>
        </w:rPr>
        <w:lastRenderedPageBreak/>
        <w:t>les membres devraient voir que la partie est mieux outillée pour défendre ses intérêts. »</w:t>
      </w:r>
    </w:p>
    <w:p w14:paraId="494AFF62" w14:textId="77777777" w:rsidR="00BD1A26" w:rsidRDefault="00BD1A26">
      <w:pPr>
        <w:spacing w:after="27" w:line="240" w:lineRule="exact"/>
        <w:rPr>
          <w:rFonts w:ascii="Arial" w:eastAsia="Arial" w:hAnsi="Arial" w:cs="Arial"/>
          <w:sz w:val="24"/>
          <w:szCs w:val="24"/>
        </w:rPr>
      </w:pPr>
    </w:p>
    <w:p w14:paraId="5D3429F7" w14:textId="77777777" w:rsidR="00BD1A26" w:rsidRDefault="002E6CBD">
      <w:pPr>
        <w:widowControl w:val="0"/>
        <w:spacing w:line="239" w:lineRule="auto"/>
        <w:ind w:left="456" w:right="527"/>
        <w:rPr>
          <w:rFonts w:ascii="Arial" w:eastAsia="Arial" w:hAnsi="Arial" w:cs="Arial"/>
          <w:color w:val="000000"/>
          <w:sz w:val="23"/>
          <w:szCs w:val="23"/>
        </w:rPr>
      </w:pPr>
      <w:r>
        <w:rPr>
          <w:rFonts w:ascii="Arial" w:hAnsi="Arial"/>
          <w:color w:val="000000"/>
          <w:sz w:val="23"/>
        </w:rPr>
        <w:t>Le système des services juridiques communautaires avait plaidé pour un tel programme l’année dernière et nous continuons à penser qu’il améliorerait l’accès à la justice à la CLI.</w:t>
      </w:r>
    </w:p>
    <w:p w14:paraId="353AE0FE" w14:textId="77777777" w:rsidR="00BD1A26" w:rsidRDefault="00BD1A26">
      <w:pPr>
        <w:spacing w:after="24" w:line="240" w:lineRule="exact"/>
        <w:rPr>
          <w:rFonts w:ascii="Arial" w:eastAsia="Arial" w:hAnsi="Arial" w:cs="Arial"/>
          <w:sz w:val="24"/>
          <w:szCs w:val="24"/>
        </w:rPr>
      </w:pPr>
    </w:p>
    <w:p w14:paraId="2ED63835" w14:textId="77777777" w:rsidR="00BD1A26" w:rsidRDefault="002E6CBD">
      <w:pPr>
        <w:widowControl w:val="0"/>
        <w:spacing w:line="239" w:lineRule="auto"/>
        <w:ind w:left="99" w:right="572"/>
        <w:jc w:val="both"/>
        <w:rPr>
          <w:rFonts w:ascii="Arial" w:eastAsia="Arial" w:hAnsi="Arial" w:cs="Arial"/>
          <w:color w:val="000000"/>
          <w:sz w:val="23"/>
          <w:szCs w:val="23"/>
        </w:rPr>
      </w:pPr>
      <w:r>
        <w:rPr>
          <w:rFonts w:ascii="Arial" w:hAnsi="Arial"/>
          <w:color w:val="000000"/>
          <w:sz w:val="23"/>
        </w:rPr>
        <w:t>Comme indiqué ci-dessus, la proposition d’audiences en soirée et le week-end peut conduire à de plus grandes inégalités et n’aura probablement qu’un impact minime sur la réduction des retards. Il ne s’agit donc pas d’une utilisation efficace des ressources de la Commission. L’affectation de ces ressources à l’établissement de calendriers régionaux, au retour des audiences en personne et à la prestation des services de la CLI permettrait de réduire davantage et plus rapidement les retards et d’améliorer cons</w:t>
      </w:r>
      <w:r>
        <w:rPr>
          <w:rFonts w:ascii="Arial" w:hAnsi="Arial"/>
          <w:color w:val="000000"/>
          <w:sz w:val="23"/>
        </w:rPr>
        <w:t>idérablement l’accès à la justice pour les locataires.</w:t>
      </w:r>
    </w:p>
    <w:p w14:paraId="6B370B1D" w14:textId="77777777" w:rsidR="00BD1A26" w:rsidRDefault="00BD1A26">
      <w:pPr>
        <w:spacing w:after="26" w:line="240" w:lineRule="exact"/>
        <w:rPr>
          <w:rFonts w:ascii="Arial" w:eastAsia="Arial" w:hAnsi="Arial" w:cs="Arial"/>
          <w:sz w:val="24"/>
          <w:szCs w:val="24"/>
        </w:rPr>
      </w:pPr>
    </w:p>
    <w:p w14:paraId="39B24AC7" w14:textId="77777777" w:rsidR="00BD1A26" w:rsidRDefault="002E6CBD">
      <w:pPr>
        <w:widowControl w:val="0"/>
        <w:spacing w:line="240" w:lineRule="auto"/>
        <w:ind w:left="99" w:right="-20"/>
        <w:rPr>
          <w:rFonts w:ascii="Arial" w:eastAsia="Arial" w:hAnsi="Arial" w:cs="Arial"/>
          <w:color w:val="000000"/>
          <w:sz w:val="23"/>
          <w:szCs w:val="23"/>
        </w:rPr>
      </w:pPr>
      <w:r>
        <w:rPr>
          <w:rFonts w:ascii="Arial" w:hAnsi="Arial"/>
          <w:color w:val="000000"/>
          <w:sz w:val="23"/>
        </w:rPr>
        <w:t>Je vous remercie d’avance de votre collaboration,</w:t>
      </w:r>
    </w:p>
    <w:p w14:paraId="07EB75DC" w14:textId="77777777" w:rsidR="00BD1A26" w:rsidRDefault="00BD1A26">
      <w:pPr>
        <w:spacing w:line="240" w:lineRule="exact"/>
        <w:rPr>
          <w:rFonts w:ascii="Arial" w:eastAsia="Arial" w:hAnsi="Arial" w:cs="Arial"/>
          <w:sz w:val="24"/>
          <w:szCs w:val="24"/>
        </w:rPr>
      </w:pPr>
    </w:p>
    <w:p w14:paraId="6F1529EC" w14:textId="77777777" w:rsidR="00BD1A26" w:rsidRDefault="00BD1A26">
      <w:pPr>
        <w:spacing w:line="240" w:lineRule="exact"/>
        <w:rPr>
          <w:rFonts w:ascii="Arial" w:eastAsia="Arial" w:hAnsi="Arial" w:cs="Arial"/>
          <w:sz w:val="24"/>
          <w:szCs w:val="24"/>
        </w:rPr>
      </w:pPr>
    </w:p>
    <w:p w14:paraId="19F63AFF" w14:textId="77777777" w:rsidR="00BD1A26" w:rsidRDefault="00BD1A26">
      <w:pPr>
        <w:spacing w:line="240" w:lineRule="exact"/>
        <w:rPr>
          <w:rFonts w:ascii="Arial" w:eastAsia="Arial" w:hAnsi="Arial" w:cs="Arial"/>
          <w:sz w:val="24"/>
          <w:szCs w:val="24"/>
        </w:rPr>
      </w:pPr>
    </w:p>
    <w:p w14:paraId="164210A5" w14:textId="77777777" w:rsidR="00BD1A26" w:rsidRDefault="00BD1A26">
      <w:pPr>
        <w:spacing w:after="8" w:line="200" w:lineRule="exact"/>
        <w:rPr>
          <w:rFonts w:ascii="Arial" w:eastAsia="Arial" w:hAnsi="Arial" w:cs="Arial"/>
          <w:sz w:val="20"/>
          <w:szCs w:val="20"/>
        </w:rPr>
      </w:pPr>
    </w:p>
    <w:p w14:paraId="7F8552C5" w14:textId="77777777" w:rsidR="00BD1A26" w:rsidRDefault="002E6CBD">
      <w:pPr>
        <w:widowControl w:val="0"/>
        <w:spacing w:line="239" w:lineRule="auto"/>
        <w:ind w:left="99" w:right="-20"/>
        <w:rPr>
          <w:rFonts w:ascii="Arial" w:eastAsia="Arial" w:hAnsi="Arial" w:cs="Arial"/>
          <w:color w:val="000000"/>
          <w:sz w:val="23"/>
          <w:szCs w:val="23"/>
        </w:rPr>
      </w:pPr>
      <w:r>
        <w:rPr>
          <w:noProof/>
        </w:rPr>
        <w:drawing>
          <wp:anchor distT="0" distB="0" distL="114300" distR="114300" simplePos="0" relativeHeight="251641344" behindDoc="1" locked="0" layoutInCell="0" allowOverlap="1" wp14:anchorId="52908F13" wp14:editId="0ECDBAF3">
            <wp:simplePos x="0" y="0"/>
            <wp:positionH relativeFrom="page">
              <wp:posOffset>1228725</wp:posOffset>
            </wp:positionH>
            <wp:positionV relativeFrom="paragraph">
              <wp:posOffset>-588336</wp:posOffset>
            </wp:positionV>
            <wp:extent cx="1569084" cy="590348"/>
            <wp:effectExtent l="0" t="0" r="0" b="0"/>
            <wp:wrapNone/>
            <wp:docPr id="10" name="drawingObject10"/>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5"/>
                    <a:stretch/>
                  </pic:blipFill>
                  <pic:spPr>
                    <a:xfrm>
                      <a:off x="0" y="0"/>
                      <a:ext cx="1569084" cy="590348"/>
                    </a:xfrm>
                    <a:prstGeom prst="rect">
                      <a:avLst/>
                    </a:prstGeom>
                    <a:noFill/>
                  </pic:spPr>
                </pic:pic>
              </a:graphicData>
            </a:graphic>
          </wp:anchor>
        </w:drawing>
      </w:r>
      <w:r>
        <w:rPr>
          <w:rFonts w:ascii="Arial" w:hAnsi="Arial"/>
          <w:color w:val="000000"/>
          <w:sz w:val="23"/>
        </w:rPr>
        <w:t>Marcos Gomez</w:t>
      </w:r>
    </w:p>
    <w:p w14:paraId="38C53EB0" w14:textId="77777777" w:rsidR="00BD1A26" w:rsidRDefault="002E6CBD">
      <w:pPr>
        <w:widowControl w:val="0"/>
        <w:spacing w:line="239" w:lineRule="auto"/>
        <w:ind w:left="99" w:right="-20"/>
        <w:rPr>
          <w:rFonts w:ascii="Arial" w:eastAsia="Arial" w:hAnsi="Arial" w:cs="Arial"/>
          <w:color w:val="000000"/>
          <w:sz w:val="23"/>
          <w:szCs w:val="23"/>
        </w:rPr>
      </w:pPr>
      <w:r>
        <w:rPr>
          <w:rFonts w:ascii="Arial" w:hAnsi="Arial"/>
          <w:color w:val="000000"/>
          <w:sz w:val="23"/>
        </w:rPr>
        <w:t>Au nom du Comité des cliniques juridiques en matière de logement</w:t>
      </w:r>
    </w:p>
    <w:p w14:paraId="0202A7CE" w14:textId="77777777" w:rsidR="00BD1A26" w:rsidRDefault="00BD1A26">
      <w:pPr>
        <w:spacing w:after="27" w:line="240" w:lineRule="exact"/>
        <w:rPr>
          <w:rFonts w:ascii="Arial" w:eastAsia="Arial" w:hAnsi="Arial" w:cs="Arial"/>
          <w:sz w:val="24"/>
          <w:szCs w:val="24"/>
        </w:rPr>
      </w:pPr>
    </w:p>
    <w:p w14:paraId="3AEC305A" w14:textId="77777777" w:rsidR="00BD1A26" w:rsidRPr="008554F9" w:rsidRDefault="002E6CBD">
      <w:pPr>
        <w:widowControl w:val="0"/>
        <w:tabs>
          <w:tab w:val="left" w:pos="819"/>
        </w:tabs>
        <w:spacing w:line="239" w:lineRule="auto"/>
        <w:ind w:left="819" w:right="6132" w:hanging="720"/>
        <w:rPr>
          <w:rFonts w:ascii="Arial" w:eastAsia="Arial" w:hAnsi="Arial" w:cs="Arial"/>
          <w:color w:val="0562C1"/>
          <w:sz w:val="23"/>
          <w:szCs w:val="23"/>
          <w:lang w:val="en-CA"/>
        </w:rPr>
      </w:pPr>
      <w:r w:rsidRPr="008554F9">
        <w:rPr>
          <w:rFonts w:ascii="Arial" w:hAnsi="Arial"/>
          <w:color w:val="000000"/>
          <w:sz w:val="23"/>
          <w:lang w:val="en-CA"/>
        </w:rPr>
        <w:t xml:space="preserve">c. </w:t>
      </w:r>
      <w:proofErr w:type="spellStart"/>
      <w:r w:rsidRPr="008554F9">
        <w:rPr>
          <w:rFonts w:ascii="Arial" w:hAnsi="Arial"/>
          <w:color w:val="000000"/>
          <w:sz w:val="23"/>
          <w:lang w:val="en-CA"/>
        </w:rPr>
        <w:t>L’hon</w:t>
      </w:r>
      <w:proofErr w:type="spellEnd"/>
      <w:r w:rsidRPr="008554F9">
        <w:rPr>
          <w:rFonts w:ascii="Arial" w:hAnsi="Arial"/>
          <w:color w:val="000000"/>
          <w:sz w:val="23"/>
          <w:lang w:val="en-CA"/>
        </w:rPr>
        <w:t xml:space="preserve">. Doug Downey, Procureur </w:t>
      </w:r>
      <w:proofErr w:type="spellStart"/>
      <w:r w:rsidRPr="008554F9">
        <w:rPr>
          <w:rFonts w:ascii="Arial" w:hAnsi="Arial"/>
          <w:color w:val="000000"/>
          <w:sz w:val="23"/>
          <w:lang w:val="en-CA"/>
        </w:rPr>
        <w:t>général</w:t>
      </w:r>
      <w:proofErr w:type="spellEnd"/>
      <w:r w:rsidRPr="008554F9">
        <w:rPr>
          <w:rFonts w:ascii="Arial" w:hAnsi="Arial"/>
          <w:color w:val="000000"/>
          <w:sz w:val="23"/>
          <w:lang w:val="en-CA"/>
        </w:rPr>
        <w:br/>
      </w:r>
      <w:hyperlink r:id="rId16">
        <w:r w:rsidRPr="008554F9">
          <w:rPr>
            <w:rFonts w:ascii="Arial" w:hAnsi="Arial"/>
            <w:color w:val="0562C1"/>
            <w:sz w:val="23"/>
            <w:u w:val="single"/>
            <w:lang w:val="en-CA"/>
          </w:rPr>
          <w:t>Doug.Downey@pc.ola.org</w:t>
        </w:r>
      </w:hyperlink>
    </w:p>
    <w:p w14:paraId="1207AE1D" w14:textId="77777777" w:rsidR="00BD1A26" w:rsidRPr="008554F9" w:rsidRDefault="00BD1A26">
      <w:pPr>
        <w:spacing w:after="26" w:line="240" w:lineRule="exact"/>
        <w:rPr>
          <w:rFonts w:ascii="Arial" w:eastAsia="Arial" w:hAnsi="Arial" w:cs="Arial"/>
          <w:sz w:val="24"/>
          <w:szCs w:val="24"/>
          <w:lang w:val="en-CA"/>
        </w:rPr>
      </w:pPr>
    </w:p>
    <w:p w14:paraId="4BAF489B" w14:textId="77777777" w:rsidR="00BD1A26" w:rsidRDefault="002E6CBD">
      <w:pPr>
        <w:widowControl w:val="0"/>
        <w:spacing w:line="239" w:lineRule="auto"/>
        <w:ind w:left="818" w:right="-20"/>
        <w:rPr>
          <w:rFonts w:ascii="Arial" w:eastAsia="Arial" w:hAnsi="Arial" w:cs="Arial"/>
          <w:color w:val="000000"/>
          <w:sz w:val="23"/>
          <w:szCs w:val="23"/>
        </w:rPr>
      </w:pPr>
      <w:r>
        <w:rPr>
          <w:rFonts w:ascii="Arial" w:hAnsi="Arial"/>
          <w:color w:val="000000"/>
          <w:sz w:val="23"/>
        </w:rPr>
        <w:t>L’hon. Steve Clark</w:t>
      </w:r>
    </w:p>
    <w:p w14:paraId="1E813362" w14:textId="77777777" w:rsidR="00BD1A26" w:rsidRDefault="002E6CBD">
      <w:pPr>
        <w:widowControl w:val="0"/>
        <w:spacing w:line="239" w:lineRule="auto"/>
        <w:ind w:left="818" w:right="4641"/>
        <w:rPr>
          <w:rFonts w:ascii="Arial" w:eastAsia="Arial" w:hAnsi="Arial" w:cs="Arial"/>
          <w:color w:val="0562C1"/>
          <w:sz w:val="23"/>
          <w:szCs w:val="23"/>
        </w:rPr>
      </w:pPr>
      <w:r>
        <w:rPr>
          <w:rFonts w:ascii="Arial" w:hAnsi="Arial"/>
          <w:color w:val="000000"/>
          <w:sz w:val="23"/>
        </w:rPr>
        <w:t>Ministre des Affaires municipales et du Logement</w:t>
      </w:r>
      <w:r>
        <w:rPr>
          <w:rFonts w:ascii="Arial" w:hAnsi="Arial"/>
          <w:color w:val="000000"/>
          <w:sz w:val="23"/>
        </w:rPr>
        <w:br/>
      </w:r>
      <w:hyperlink r:id="rId17">
        <w:r>
          <w:rPr>
            <w:rFonts w:ascii="Arial" w:hAnsi="Arial"/>
            <w:color w:val="0562C1"/>
            <w:sz w:val="23"/>
            <w:u w:val="single"/>
          </w:rPr>
          <w:t>minister.mah@ontario.ca</w:t>
        </w:r>
      </w:hyperlink>
    </w:p>
    <w:p w14:paraId="5D9CFE9B" w14:textId="77777777" w:rsidR="00BD1A26" w:rsidRDefault="00BD1A26">
      <w:pPr>
        <w:spacing w:line="240" w:lineRule="exact"/>
        <w:rPr>
          <w:rFonts w:ascii="Arial" w:eastAsia="Arial" w:hAnsi="Arial" w:cs="Arial"/>
          <w:sz w:val="24"/>
          <w:szCs w:val="24"/>
        </w:rPr>
      </w:pPr>
    </w:p>
    <w:p w14:paraId="6AE06F80" w14:textId="77777777" w:rsidR="00BD1A26" w:rsidRDefault="00BD1A26">
      <w:pPr>
        <w:spacing w:line="240" w:lineRule="exact"/>
        <w:rPr>
          <w:rFonts w:ascii="Arial" w:eastAsia="Arial" w:hAnsi="Arial" w:cs="Arial"/>
          <w:sz w:val="24"/>
          <w:szCs w:val="24"/>
        </w:rPr>
      </w:pPr>
    </w:p>
    <w:bookmarkEnd w:id="4"/>
    <w:sectPr w:rsidR="00BD1A26" w:rsidSect="00DA3FC9">
      <w:pgSz w:w="12240" w:h="15840"/>
      <w:pgMar w:top="720" w:right="720" w:bottom="720" w:left="720"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D31C0" w14:textId="77777777" w:rsidR="008554F9" w:rsidRDefault="008554F9" w:rsidP="008554F9">
      <w:pPr>
        <w:spacing w:line="240" w:lineRule="auto"/>
      </w:pPr>
      <w:r>
        <w:separator/>
      </w:r>
    </w:p>
  </w:endnote>
  <w:endnote w:type="continuationSeparator" w:id="0">
    <w:p w14:paraId="7EAD9B5B" w14:textId="77777777" w:rsidR="008554F9" w:rsidRDefault="008554F9" w:rsidP="008554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FAABB" w14:textId="77777777" w:rsidR="008554F9" w:rsidRDefault="008554F9" w:rsidP="008554F9">
      <w:pPr>
        <w:spacing w:line="240" w:lineRule="auto"/>
      </w:pPr>
      <w:r>
        <w:separator/>
      </w:r>
    </w:p>
  </w:footnote>
  <w:footnote w:type="continuationSeparator" w:id="0">
    <w:p w14:paraId="38A57C23" w14:textId="77777777" w:rsidR="008554F9" w:rsidRDefault="008554F9" w:rsidP="008554F9">
      <w:pPr>
        <w:spacing w:line="240" w:lineRule="auto"/>
      </w:pPr>
      <w:r>
        <w:continuationSeparator/>
      </w:r>
    </w:p>
  </w:footnote>
  <w:footnote w:id="1">
    <w:p w14:paraId="000FC073" w14:textId="77777777" w:rsidR="008554F9" w:rsidRDefault="008554F9" w:rsidP="008554F9">
      <w:pPr>
        <w:widowControl w:val="0"/>
        <w:spacing w:line="240" w:lineRule="auto"/>
        <w:ind w:left="98" w:right="-20"/>
      </w:pPr>
      <w:r>
        <w:rPr>
          <w:rStyle w:val="Appelnotedebasdep"/>
        </w:rPr>
        <w:footnoteRef/>
      </w:r>
      <w:r>
        <w:t xml:space="preserve"> </w:t>
      </w:r>
      <w:hyperlink r:id="rId1">
        <w:r>
          <w:rPr>
            <w:rFonts w:ascii="Arial" w:hAnsi="Arial"/>
            <w:color w:val="0562C1"/>
            <w:sz w:val="20"/>
            <w:u w:val="single"/>
          </w:rPr>
          <w:t>https://www.blogto.com/real-estate-toronto/2022/08/ontario-landlord-tenant-board-state-crisis/</w:t>
        </w:r>
      </w:hyperlink>
      <w:r>
        <w:t>.</w:t>
      </w:r>
    </w:p>
    <w:p w14:paraId="39ACDD19" w14:textId="77777777" w:rsidR="008554F9" w:rsidRDefault="008554F9" w:rsidP="008554F9">
      <w:pPr>
        <w:widowControl w:val="0"/>
        <w:spacing w:line="240" w:lineRule="auto"/>
        <w:ind w:left="98" w:right="-20"/>
        <w:rPr>
          <w:rFonts w:ascii="Arial" w:eastAsia="Arial" w:hAnsi="Arial" w:cs="Arial"/>
          <w:color w:val="0562C1"/>
          <w:sz w:val="20"/>
          <w:szCs w:val="20"/>
        </w:rPr>
      </w:pPr>
    </w:p>
    <w:p w14:paraId="7756BADD" w14:textId="2AB47A31" w:rsidR="008554F9" w:rsidRDefault="008554F9" w:rsidP="008554F9">
      <w:pPr>
        <w:spacing w:after="11" w:line="220" w:lineRule="exact"/>
        <w:rPr>
          <w:rFonts w:ascii="Arial" w:eastAsia="Arial" w:hAnsi="Arial" w:cs="Arial"/>
        </w:rPr>
      </w:pPr>
      <w:hyperlink r:id="rId2">
        <w:r>
          <w:rPr>
            <w:rFonts w:ascii="Arial" w:hAnsi="Arial"/>
            <w:color w:val="0562C1"/>
            <w:sz w:val="20"/>
            <w:u w:val="single"/>
          </w:rPr>
          <w:t>https://www.iheartradio.ca/newstalk-1010/audio/podcasts/toronto-lawyer-marc-goldgrub-explains-</w:t>
        </w:r>
      </w:hyperlink>
      <w:hyperlink r:id="rId3">
        <w:r>
          <w:rPr>
            <w:rFonts w:ascii="Arial" w:hAnsi="Arial"/>
            <w:color w:val="0562C1"/>
            <w:sz w:val="20"/>
            <w:u w:val="single"/>
          </w:rPr>
          <w:t>to-moore-in-the-morning-his-claim-that-ontario-s-landlord-and-tenant-board-is-in-a-total-state-of-</w:t>
        </w:r>
      </w:hyperlink>
      <w:hyperlink r:id="rId4">
        <w:r>
          <w:rPr>
            <w:rFonts w:ascii="Arial" w:hAnsi="Arial"/>
            <w:color w:val="0562C1"/>
            <w:sz w:val="20"/>
            <w:u w:val="single"/>
          </w:rPr>
          <w:t>crisis-1.18403244</w:t>
        </w:r>
      </w:hyperlink>
    </w:p>
    <w:p w14:paraId="049D7073" w14:textId="554BAE3D" w:rsidR="008554F9" w:rsidRDefault="008554F9">
      <w:pPr>
        <w:pStyle w:val="Notedebasdepage"/>
      </w:pPr>
    </w:p>
    <w:p w14:paraId="1F2FBD37" w14:textId="77777777" w:rsidR="008554F9" w:rsidRDefault="008554F9" w:rsidP="008554F9">
      <w:pPr>
        <w:widowControl w:val="0"/>
        <w:spacing w:line="240" w:lineRule="auto"/>
        <w:ind w:left="98" w:right="1376"/>
        <w:rPr>
          <w:rFonts w:ascii="Arial" w:eastAsia="Arial" w:hAnsi="Arial" w:cs="Arial"/>
          <w:color w:val="0562C1"/>
          <w:sz w:val="20"/>
          <w:szCs w:val="20"/>
        </w:rPr>
      </w:pPr>
      <w:hyperlink r:id="rId5">
        <w:r>
          <w:rPr>
            <w:rFonts w:ascii="Arial" w:hAnsi="Arial"/>
            <w:color w:val="0562C1"/>
            <w:sz w:val="20"/>
            <w:u w:val="single"/>
          </w:rPr>
          <w:t>https://toronto.ctvnews.ca/landlord-and-tenant-board-s-digital-first-system-harms-vulnerable-</w:t>
        </w:r>
      </w:hyperlink>
      <w:hyperlink r:id="rId6">
        <w:r>
          <w:rPr>
            <w:rFonts w:ascii="Arial" w:hAnsi="Arial"/>
            <w:color w:val="0562C1"/>
            <w:sz w:val="20"/>
            <w:u w:val="single"/>
          </w:rPr>
          <w:t>renters-advocate-1.5968789</w:t>
        </w:r>
      </w:hyperlink>
    </w:p>
    <w:p w14:paraId="057AA3FA" w14:textId="77777777" w:rsidR="008554F9" w:rsidRDefault="008554F9" w:rsidP="008554F9">
      <w:pPr>
        <w:spacing w:after="8" w:line="220" w:lineRule="exact"/>
        <w:rPr>
          <w:rFonts w:ascii="Arial" w:eastAsia="Arial" w:hAnsi="Arial" w:cs="Arial"/>
        </w:rPr>
      </w:pPr>
    </w:p>
    <w:p w14:paraId="4CF15BC0" w14:textId="77777777" w:rsidR="008554F9" w:rsidRDefault="008554F9" w:rsidP="008554F9">
      <w:pPr>
        <w:widowControl w:val="0"/>
        <w:spacing w:line="240" w:lineRule="auto"/>
        <w:ind w:left="98" w:right="1188"/>
        <w:rPr>
          <w:rFonts w:ascii="Arial" w:eastAsia="Arial" w:hAnsi="Arial" w:cs="Arial"/>
          <w:color w:val="0562C1"/>
          <w:sz w:val="20"/>
          <w:szCs w:val="20"/>
        </w:rPr>
      </w:pPr>
      <w:hyperlink r:id="rId7">
        <w:r>
          <w:rPr>
            <w:rFonts w:ascii="Arial" w:hAnsi="Arial"/>
            <w:color w:val="0562C1"/>
            <w:sz w:val="20"/>
            <w:u w:val="single"/>
          </w:rPr>
          <w:t>https://www.ottawalawyers.com/blog/attorney-michael-thieles-interviewed-on-ctv-about-the-ltb-</w:t>
        </w:r>
      </w:hyperlink>
      <w:hyperlink r:id="rId8">
        <w:r>
          <w:rPr>
            <w:rFonts w:ascii="Arial" w:hAnsi="Arial"/>
            <w:color w:val="0562C1"/>
            <w:sz w:val="20"/>
            <w:u w:val="single"/>
          </w:rPr>
          <w:t>backlog/</w:t>
        </w:r>
      </w:hyperlink>
    </w:p>
    <w:p w14:paraId="6259BBD9" w14:textId="77777777" w:rsidR="008554F9" w:rsidRDefault="008554F9" w:rsidP="008554F9">
      <w:pPr>
        <w:spacing w:after="10" w:line="220" w:lineRule="exact"/>
        <w:rPr>
          <w:rFonts w:ascii="Arial" w:eastAsia="Arial" w:hAnsi="Arial" w:cs="Arial"/>
        </w:rPr>
      </w:pPr>
    </w:p>
    <w:p w14:paraId="278871A3" w14:textId="77777777" w:rsidR="008554F9" w:rsidRPr="008554F9" w:rsidRDefault="008554F9" w:rsidP="008554F9">
      <w:pPr>
        <w:widowControl w:val="0"/>
        <w:spacing w:line="240" w:lineRule="auto"/>
        <w:ind w:left="98" w:right="-20"/>
        <w:rPr>
          <w:rFonts w:ascii="Arial" w:eastAsia="Arial" w:hAnsi="Arial" w:cs="Arial"/>
          <w:color w:val="0562C1"/>
          <w:sz w:val="20"/>
          <w:szCs w:val="20"/>
          <w:lang w:val="en-CA"/>
        </w:rPr>
      </w:pPr>
      <w:hyperlink r:id="rId9">
        <w:r w:rsidRPr="008554F9">
          <w:rPr>
            <w:rFonts w:ascii="Arial" w:hAnsi="Arial"/>
            <w:color w:val="0562C1"/>
            <w:sz w:val="20"/>
            <w:u w:val="single"/>
            <w:lang w:val="en-CA"/>
          </w:rPr>
          <w:t>Mom, daughter face homelessness after buying home and tenant refuses to leave | CBC News</w:t>
        </w:r>
      </w:hyperlink>
    </w:p>
    <w:p w14:paraId="387C5315" w14:textId="77777777" w:rsidR="008554F9" w:rsidRPr="008554F9" w:rsidRDefault="008554F9" w:rsidP="008554F9">
      <w:pPr>
        <w:spacing w:after="9" w:line="220" w:lineRule="exact"/>
        <w:rPr>
          <w:rFonts w:ascii="Arial" w:eastAsia="Arial" w:hAnsi="Arial" w:cs="Arial"/>
          <w:lang w:val="en-CA"/>
        </w:rPr>
      </w:pPr>
    </w:p>
    <w:p w14:paraId="148C1071" w14:textId="77777777" w:rsidR="008554F9" w:rsidRPr="008554F9" w:rsidRDefault="008554F9" w:rsidP="008554F9">
      <w:pPr>
        <w:widowControl w:val="0"/>
        <w:spacing w:line="240" w:lineRule="auto"/>
        <w:ind w:left="98" w:right="1989"/>
        <w:rPr>
          <w:rFonts w:ascii="Arial" w:eastAsia="Arial" w:hAnsi="Arial" w:cs="Arial"/>
          <w:color w:val="0562C1"/>
          <w:sz w:val="20"/>
          <w:szCs w:val="20"/>
          <w:lang w:val="en-CA"/>
        </w:rPr>
      </w:pPr>
      <w:hyperlink r:id="rId10">
        <w:r w:rsidRPr="008554F9">
          <w:rPr>
            <w:rFonts w:ascii="Arial" w:hAnsi="Arial"/>
            <w:color w:val="0562C1"/>
            <w:sz w:val="20"/>
            <w:u w:val="single"/>
            <w:lang w:val="en-CA"/>
          </w:rPr>
          <w:t>Ontario’s online rental dispute tribunal ‘frustrating for everyone’:</w:t>
        </w:r>
      </w:hyperlink>
      <w:hyperlink r:id="rId11">
        <w:r w:rsidRPr="008554F9">
          <w:rPr>
            <w:rFonts w:ascii="Arial" w:hAnsi="Arial"/>
            <w:color w:val="0562C1"/>
            <w:sz w:val="20"/>
            <w:u w:val="single"/>
            <w:lang w:val="en-CA"/>
          </w:rPr>
          <w:t xml:space="preserve"> Hamilton legal clinic |</w:t>
        </w:r>
      </w:hyperlink>
      <w:r w:rsidRPr="008554F9">
        <w:rPr>
          <w:rFonts w:ascii="Arial" w:hAnsi="Arial"/>
          <w:color w:val="0562C1"/>
          <w:sz w:val="20"/>
          <w:lang w:val="en-CA"/>
        </w:rPr>
        <w:t xml:space="preserve"> </w:t>
      </w:r>
      <w:hyperlink r:id="rId12">
        <w:r w:rsidRPr="008554F9">
          <w:rPr>
            <w:rFonts w:ascii="Arial" w:hAnsi="Arial"/>
            <w:color w:val="0562C1"/>
            <w:sz w:val="20"/>
            <w:u w:val="single"/>
            <w:lang w:val="en-CA"/>
          </w:rPr>
          <w:t>TheSpec.com</w:t>
        </w:r>
      </w:hyperlink>
    </w:p>
    <w:p w14:paraId="5C5F8149" w14:textId="77777777" w:rsidR="008554F9" w:rsidRPr="008554F9" w:rsidRDefault="008554F9" w:rsidP="008554F9">
      <w:pPr>
        <w:spacing w:after="10" w:line="220" w:lineRule="exact"/>
        <w:rPr>
          <w:rFonts w:ascii="Arial" w:eastAsia="Arial" w:hAnsi="Arial" w:cs="Arial"/>
          <w:lang w:val="en-CA"/>
        </w:rPr>
      </w:pPr>
    </w:p>
    <w:p w14:paraId="21D5B93A" w14:textId="37765995" w:rsidR="008554F9" w:rsidRPr="008554F9" w:rsidRDefault="008554F9" w:rsidP="00A041AE">
      <w:pPr>
        <w:widowControl w:val="0"/>
        <w:spacing w:line="240" w:lineRule="auto"/>
        <w:ind w:left="98" w:right="1390"/>
        <w:rPr>
          <w:lang w:val="en-CA"/>
        </w:rPr>
      </w:pPr>
      <w:hyperlink r:id="rId13">
        <w:r w:rsidRPr="008554F9">
          <w:rPr>
            <w:rFonts w:ascii="Arial" w:hAnsi="Arial"/>
            <w:color w:val="0562C1"/>
            <w:sz w:val="20"/>
            <w:u w:val="single"/>
            <w:lang w:val="en-CA"/>
          </w:rPr>
          <w:t>https://www.theglobeandmail.com/real-estate/article-both-tenants-landlords-exasperated-by-</w:t>
        </w:r>
      </w:hyperlink>
      <w:hyperlink r:id="rId14">
        <w:r w:rsidRPr="008554F9">
          <w:rPr>
            <w:rFonts w:ascii="Arial" w:hAnsi="Arial"/>
            <w:color w:val="0562C1"/>
            <w:sz w:val="20"/>
            <w:u w:val="single"/>
            <w:lang w:val="en-CA"/>
          </w:rPr>
          <w:t>delays-at-ontarios-rental/</w:t>
        </w:r>
      </w:hyperlink>
    </w:p>
  </w:footnote>
  <w:footnote w:id="2">
    <w:p w14:paraId="083FB0A4" w14:textId="77777777" w:rsidR="00A041AE" w:rsidRDefault="00A041AE" w:rsidP="00A041AE">
      <w:pPr>
        <w:widowControl w:val="0"/>
        <w:spacing w:line="240" w:lineRule="auto"/>
        <w:ind w:left="98" w:right="-20"/>
        <w:rPr>
          <w:rFonts w:ascii="Arial" w:eastAsia="Arial" w:hAnsi="Arial" w:cs="Arial"/>
          <w:color w:val="000000"/>
          <w:sz w:val="20"/>
          <w:szCs w:val="20"/>
        </w:rPr>
      </w:pPr>
      <w:r>
        <w:rPr>
          <w:rStyle w:val="Appelnotedebasdep"/>
        </w:rPr>
        <w:footnoteRef/>
      </w:r>
      <w:r>
        <w:t xml:space="preserve"> </w:t>
      </w:r>
      <w:r>
        <w:rPr>
          <w:rFonts w:ascii="Arial" w:hAnsi="Arial"/>
          <w:color w:val="000000"/>
          <w:sz w:val="20"/>
        </w:rPr>
        <w:t xml:space="preserve">Le Conseil d’administration de district des services sociaux de Thunder Bay souligne ce problème dans son récent </w:t>
      </w:r>
      <w:hyperlink r:id="rId15">
        <w:r>
          <w:rPr>
            <w:rFonts w:ascii="Arial" w:hAnsi="Arial"/>
            <w:color w:val="0562C1"/>
            <w:sz w:val="20"/>
          </w:rPr>
          <w:t>document de position</w:t>
        </w:r>
        <w:r>
          <w:rPr>
            <w:rFonts w:ascii="Arial" w:hAnsi="Arial"/>
            <w:color w:val="000000"/>
            <w:sz w:val="20"/>
          </w:rPr>
          <w:t> :</w:t>
        </w:r>
      </w:hyperlink>
    </w:p>
    <w:p w14:paraId="0E682F31" w14:textId="77777777" w:rsidR="00A041AE" w:rsidRDefault="00A041AE" w:rsidP="00A041AE">
      <w:pPr>
        <w:spacing w:after="11" w:line="220" w:lineRule="exact"/>
        <w:rPr>
          <w:rFonts w:ascii="Arial" w:eastAsia="Arial" w:hAnsi="Arial" w:cs="Arial"/>
        </w:rPr>
      </w:pPr>
    </w:p>
    <w:p w14:paraId="1B78F003" w14:textId="13FDDDC9" w:rsidR="00A041AE" w:rsidRDefault="00A041AE" w:rsidP="00A041AE">
      <w:pPr>
        <w:widowControl w:val="0"/>
        <w:spacing w:line="240" w:lineRule="auto"/>
        <w:ind w:left="98" w:right="953"/>
      </w:pPr>
      <w:r>
        <w:rPr>
          <w:rFonts w:ascii="Arial" w:hAnsi="Arial"/>
          <w:color w:val="000000"/>
          <w:sz w:val="20"/>
        </w:rPr>
        <w:t>« Lorsque les audiences se déroulaient sur place, l’arbitre en convoquait une à la fois, de sorte que le chevauchement ne posait pas de problème. Cependant, un représentant de l’organisme a récemment eu deux audiences virtuelles réservées simultanément et participait à une audience lorsqu’il a été appelé à l’autre. L’arbitre a marqué son absence à cette convocation ».</w:t>
      </w:r>
    </w:p>
  </w:footnote>
  <w:footnote w:id="3">
    <w:p w14:paraId="077EF866" w14:textId="19C775C6" w:rsidR="00A041AE" w:rsidRDefault="00A041AE">
      <w:pPr>
        <w:pStyle w:val="Notedebasdepage"/>
      </w:pPr>
      <w:r>
        <w:rPr>
          <w:rStyle w:val="Appelnotedebasdep"/>
        </w:rPr>
        <w:footnoteRef/>
      </w:r>
      <w:r>
        <w:t xml:space="preserve"> </w:t>
      </w:r>
      <w:hyperlink r:id="rId16">
        <w:r>
          <w:rPr>
            <w:rFonts w:ascii="Arial" w:hAnsi="Arial"/>
            <w:color w:val="0562C1"/>
            <w:u w:val="single"/>
          </w:rPr>
          <w:t>https://www.cbc.ca/news/canada/toronto/ontario-landlord-tenant-board-ombudsman-1.5420860</w:t>
        </w:r>
      </w:hyperlink>
    </w:p>
  </w:footnote>
  <w:footnote w:id="4">
    <w:p w14:paraId="7C8097AF" w14:textId="52B9311F" w:rsidR="002E6CBD" w:rsidRDefault="002E6CBD">
      <w:pPr>
        <w:pStyle w:val="Notedebasdepage"/>
      </w:pPr>
      <w:r>
        <w:rPr>
          <w:rStyle w:val="Appelnotedebasdep"/>
        </w:rPr>
        <w:footnoteRef/>
      </w:r>
      <w:r>
        <w:t xml:space="preserve"> </w:t>
      </w:r>
      <w:r>
        <w:rPr>
          <w:rFonts w:ascii="Arial" w:hAnsi="Arial"/>
          <w:i/>
          <w:color w:val="000000"/>
        </w:rPr>
        <w:t>Supra</w:t>
      </w:r>
      <w:r>
        <w:rPr>
          <w:rFonts w:ascii="Arial" w:hAnsi="Arial"/>
          <w:color w:val="000000"/>
        </w:rPr>
        <w:t>, note 1.</w:t>
      </w:r>
    </w:p>
  </w:footnote>
  <w:footnote w:id="5">
    <w:p w14:paraId="0D25864F" w14:textId="04B503F8" w:rsidR="002E6CBD" w:rsidRDefault="002E6CBD">
      <w:pPr>
        <w:pStyle w:val="Notedebasdepage"/>
      </w:pPr>
      <w:r>
        <w:rPr>
          <w:rStyle w:val="Appelnotedebasdep"/>
        </w:rPr>
        <w:footnoteRef/>
      </w:r>
      <w:r>
        <w:t xml:space="preserve"> </w:t>
      </w:r>
      <w:hyperlink r:id="rId17">
        <w:r>
          <w:rPr>
            <w:rFonts w:ascii="Arial" w:hAnsi="Arial"/>
            <w:color w:val="0562C1"/>
            <w:u w:val="single"/>
          </w:rPr>
          <w:t>https://www.thestar.com/news/gta/2022/11/22/how-the-pandemic-exposed-the-depth-of-the-</w:t>
        </w:r>
      </w:hyperlink>
      <w:hyperlink r:id="rId18">
        <w:r>
          <w:rPr>
            <w:rFonts w:ascii="Arial" w:hAnsi="Arial"/>
            <w:color w:val="0562C1"/>
            <w:u w:val="single"/>
          </w:rPr>
          <w:t>digital-divide.html</w:t>
        </w:r>
      </w:hyperlink>
    </w:p>
  </w:footnote>
  <w:footnote w:id="6">
    <w:p w14:paraId="1427CF28" w14:textId="6A01ED05" w:rsidR="002E6CBD" w:rsidRDefault="002E6CBD">
      <w:pPr>
        <w:pStyle w:val="Notedebasdepage"/>
      </w:pPr>
      <w:r>
        <w:rPr>
          <w:rStyle w:val="Appelnotedebasdep"/>
        </w:rPr>
        <w:footnoteRef/>
      </w:r>
      <w:r>
        <w:t xml:space="preserve"> </w:t>
      </w:r>
      <w:hyperlink r:id="rId19" w:history="1">
        <w:r w:rsidRPr="00E2528E">
          <w:rPr>
            <w:rStyle w:val="Hyperlien"/>
            <w:rFonts w:ascii="Arial" w:hAnsi="Arial"/>
          </w:rPr>
          <w:t>https://www1.canada.ca/en/sst/navigator-cppd-gdis.html</w:t>
        </w:r>
      </w:hyperlink>
      <w:r>
        <w:t>.</w:t>
      </w:r>
    </w:p>
  </w:footnote>
  <w:footnote w:id="7">
    <w:p w14:paraId="20B9CFFC" w14:textId="0AFE814A" w:rsidR="002E6CBD" w:rsidRDefault="002E6CBD">
      <w:pPr>
        <w:pStyle w:val="Notedebasdepage"/>
      </w:pPr>
      <w:r>
        <w:rPr>
          <w:rStyle w:val="Appelnotedebasdep"/>
        </w:rPr>
        <w:footnoteRef/>
      </w:r>
      <w:r>
        <w:t xml:space="preserve"> </w:t>
      </w:r>
      <w:hyperlink r:id="rId20">
        <w:r>
          <w:rPr>
            <w:rFonts w:ascii="Arial" w:hAnsi="Arial"/>
            <w:color w:val="0562C1"/>
            <w:u w:val="single"/>
          </w:rPr>
          <w:t>https://sst-tss.gc.ca/fr/notre-travail-notre-equipe/evaluation-du-service-daccompagnement-pour-appels-relatifs-prestations-dinvalidite-du-regime-pensions-du-canada-rpc-division-generale-section-securite-du-revenu</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D1A26"/>
    <w:rsid w:val="002D5790"/>
    <w:rsid w:val="002E1920"/>
    <w:rsid w:val="002E6CBD"/>
    <w:rsid w:val="008554F9"/>
    <w:rsid w:val="00A041AE"/>
    <w:rsid w:val="00BD1A26"/>
    <w:rsid w:val="00DA3FC9"/>
    <w:rsid w:val="00F2463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491B1"/>
  <w15:docId w15:val="{15F9D2C1-D034-4269-BFFF-E5818691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CA" w:eastAsia="fr-CA"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8554F9"/>
    <w:pPr>
      <w:spacing w:line="240" w:lineRule="auto"/>
    </w:pPr>
    <w:rPr>
      <w:sz w:val="20"/>
      <w:szCs w:val="20"/>
    </w:rPr>
  </w:style>
  <w:style w:type="character" w:customStyle="1" w:styleId="NotedebasdepageCar">
    <w:name w:val="Note de bas de page Car"/>
    <w:basedOn w:val="Policepardfaut"/>
    <w:link w:val="Notedebasdepage"/>
    <w:uiPriority w:val="99"/>
    <w:semiHidden/>
    <w:rsid w:val="008554F9"/>
    <w:rPr>
      <w:sz w:val="20"/>
      <w:szCs w:val="20"/>
    </w:rPr>
  </w:style>
  <w:style w:type="character" w:styleId="Appelnotedebasdep">
    <w:name w:val="footnote reference"/>
    <w:basedOn w:val="Policepardfaut"/>
    <w:uiPriority w:val="99"/>
    <w:semiHidden/>
    <w:unhideWhenUsed/>
    <w:rsid w:val="008554F9"/>
    <w:rPr>
      <w:vertAlign w:val="superscript"/>
    </w:rPr>
  </w:style>
  <w:style w:type="character" w:styleId="Hyperlien">
    <w:name w:val="Hyperlink"/>
    <w:basedOn w:val="Policepardfaut"/>
    <w:uiPriority w:val="99"/>
    <w:unhideWhenUsed/>
    <w:rsid w:val="00DA3FC9"/>
    <w:rPr>
      <w:color w:val="467886" w:themeColor="hyperlink"/>
      <w:u w:val="single"/>
    </w:rPr>
  </w:style>
  <w:style w:type="character" w:styleId="Mentionnonrsolue">
    <w:name w:val="Unresolved Mention"/>
    <w:basedOn w:val="Policepardfaut"/>
    <w:uiPriority w:val="99"/>
    <w:semiHidden/>
    <w:unhideWhenUsed/>
    <w:rsid w:val="00DA3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os.gomez@algo.clcj.ca" TargetMode="External"/><Relationship Id="rId13" Type="http://schemas.openxmlformats.org/officeDocument/2006/relationships/hyperlink" Target="mailto:Ian.Speers@ontario.c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Lindiwe.Bridgewater@ontario.ca" TargetMode="External"/><Relationship Id="rId17" Type="http://schemas.openxmlformats.org/officeDocument/2006/relationships/hyperlink" Target="mailto:minister.mah@ontario.ca" TargetMode="External"/><Relationship Id="rId2" Type="http://schemas.openxmlformats.org/officeDocument/2006/relationships/styles" Target="styles.xml"/><Relationship Id="rId16" Type="http://schemas.openxmlformats.org/officeDocument/2006/relationships/hyperlink" Target="mailto:doug.downey@pc.ola.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Harry.Gousopoulos@ontario.ca"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mailto:Mira.Gamsa@ontario.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ean.Weir@ontario.ca" TargetMode="External"/><Relationship Id="rId14" Type="http://schemas.openxmlformats.org/officeDocument/2006/relationships/hyperlink" Target="https://www.acto.ca/production/wp-content/uploads/2022/12/ACTO-Digital-Divide-FINAL-Francais.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ottawalawyers.com/blog/attorney-michael-thieles-interviewed-on-ctv-about-the-ltb-backlog/" TargetMode="External"/><Relationship Id="rId13" Type="http://schemas.openxmlformats.org/officeDocument/2006/relationships/hyperlink" Target="https://www.theglobeandmail.com/real-estate/article-both-tenants-landlords-exasperated-by-delays-at-ontarios-rental/" TargetMode="External"/><Relationship Id="rId18" Type="http://schemas.openxmlformats.org/officeDocument/2006/relationships/hyperlink" Target="https://www.thestar.com/news/gta/2022/11/22/how-the-pandemic-exposed-the-depth-of-the-digital-divide.html" TargetMode="External"/><Relationship Id="rId3" Type="http://schemas.openxmlformats.org/officeDocument/2006/relationships/hyperlink" Target="https://www.iheartradio.ca/newstalk-1010/audio/podcasts/toronto-lawyer-marc-goldgrub-explains-to-moore-in-the-morning-his-claim-that-ontario-s-landlord-and-tenant-board-is-in-a-total-state-of-crisis-1.18403244" TargetMode="External"/><Relationship Id="rId7" Type="http://schemas.openxmlformats.org/officeDocument/2006/relationships/hyperlink" Target="https://www.ottawalawyers.com/blog/attorney-michael-thieles-interviewed-on-ctv-about-the-ltb-backlog/" TargetMode="External"/><Relationship Id="rId12" Type="http://schemas.openxmlformats.org/officeDocument/2006/relationships/hyperlink" Target="https://www.thespec.com/news/hamilton-region/2021/08/25/landlord-tenant-board-hearings.html" TargetMode="External"/><Relationship Id="rId17" Type="http://schemas.openxmlformats.org/officeDocument/2006/relationships/hyperlink" Target="https://www.thestar.com/news/gta/2022/11/22/how-the-pandemic-exposed-the-depth-of-the-digital-divide.html" TargetMode="External"/><Relationship Id="rId2" Type="http://schemas.openxmlformats.org/officeDocument/2006/relationships/hyperlink" Target="https://www.iheartradio.ca/newstalk-1010/audio/podcasts/toronto-lawyer-marc-goldgrub-explains-to-moore-in-the-morning-his-claim-that-ontario-s-landlord-and-tenant-board-is-in-a-total-state-of-crisis-1.18403244" TargetMode="External"/><Relationship Id="rId16" Type="http://schemas.openxmlformats.org/officeDocument/2006/relationships/hyperlink" Target="https://www.cbc.ca/news/canada/toronto/ontario-landlord-tenant-board-ombudsman-1.5420860" TargetMode="External"/><Relationship Id="rId20" Type="http://schemas.openxmlformats.org/officeDocument/2006/relationships/hyperlink" Target="https://sst-tss.gc.ca/fr/notre-travail-notre-equipe/evaluation-du-service-daccompagnement-pour-appels-relatifs-prestations-dinvalidite-du-regime-pensions-du-canada-rpc-division-generale-section-securite-du-revenu" TargetMode="External"/><Relationship Id="rId1" Type="http://schemas.openxmlformats.org/officeDocument/2006/relationships/hyperlink" Target="https://www.blogto.com/real-estate-toronto/2022/08/ontario-landlord-tenant-board-state-crisis/" TargetMode="External"/><Relationship Id="rId6" Type="http://schemas.openxmlformats.org/officeDocument/2006/relationships/hyperlink" Target="https://toronto.ctvnews.ca/landlord-and-tenant-board-s-digital-first-system-harms-vulnerable-renters-advocate-1.5968789" TargetMode="External"/><Relationship Id="rId11" Type="http://schemas.openxmlformats.org/officeDocument/2006/relationships/hyperlink" Target="https://www.thespec.com/news/hamilton-region/2021/08/25/landlord-tenant-board-hearings.html" TargetMode="External"/><Relationship Id="rId5" Type="http://schemas.openxmlformats.org/officeDocument/2006/relationships/hyperlink" Target="https://toronto.ctvnews.ca/landlord-and-tenant-board-s-digital-first-system-harms-vulnerable-renters-advocate-1.5968789" TargetMode="External"/><Relationship Id="rId15" Type="http://schemas.openxmlformats.org/officeDocument/2006/relationships/hyperlink" Target="https://www.tbdssab.ca/wp-content/uploads/2022/11/RPT-2022-72-CAO-ROMA-2023-Position-Papers.pdf" TargetMode="External"/><Relationship Id="rId10" Type="http://schemas.openxmlformats.org/officeDocument/2006/relationships/hyperlink" Target="https://www.thespec.com/news/hamilton-region/2021/08/25/landlord-tenant-board-hearings.html" TargetMode="External"/><Relationship Id="rId19" Type="http://schemas.openxmlformats.org/officeDocument/2006/relationships/hyperlink" Target="https://www1.canada.ca/en/sst/navigator-cppd-gdis.html" TargetMode="External"/><Relationship Id="rId4" Type="http://schemas.openxmlformats.org/officeDocument/2006/relationships/hyperlink" Target="https://www.iheartradio.ca/newstalk-1010/audio/podcasts/toronto-lawyer-marc-goldgrub-explains-to-moore-in-the-morning-his-claim-that-ontario-s-landlord-and-tenant-board-is-in-a-total-state-of-crisis-1.18403244" TargetMode="External"/><Relationship Id="rId9" Type="http://schemas.openxmlformats.org/officeDocument/2006/relationships/hyperlink" Target="https://www.cbc.ca/news/canada/ottawa/non-paying-tenant-ottawa-small-landlord-face-homelessness-1.6610660" TargetMode="External"/><Relationship Id="rId14" Type="http://schemas.openxmlformats.org/officeDocument/2006/relationships/hyperlink" Target="https://www.theglobeandmail.com/real-estate/article-both-tenants-landlords-exasperated-by-delays-at-ontarios-rent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538F4-5CE1-4ACE-A632-007A4C504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1983</Words>
  <Characters>10907</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Marie-Eve Mailhot</dc:creator>
  <cp:lastModifiedBy>Marie-Eve Mailhot</cp:lastModifiedBy>
  <cp:revision>3</cp:revision>
  <dcterms:created xsi:type="dcterms:W3CDTF">2025-04-28T21:26:00Z</dcterms:created>
  <dcterms:modified xsi:type="dcterms:W3CDTF">2025-04-28T21:40:00Z</dcterms:modified>
</cp:coreProperties>
</file>