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4C38" w14:textId="13289345" w:rsidR="004A067D" w:rsidRPr="00994000" w:rsidRDefault="00E3418B" w:rsidP="00D74827">
      <w:pPr>
        <w:pStyle w:val="BodyText"/>
        <w:spacing w:before="80"/>
        <w:ind w:left="100"/>
        <w:rPr>
          <w:sz w:val="22"/>
          <w:lang w:val="fr-CA"/>
        </w:rPr>
      </w:pPr>
      <w:r w:rsidRPr="00994000">
        <w:rPr>
          <w:sz w:val="22"/>
          <w:lang w:val="fr-CA"/>
        </w:rPr>
        <w:t>27 janvier 2026</w:t>
      </w:r>
    </w:p>
    <w:p w14:paraId="56711E6F" w14:textId="30DDB249" w:rsidR="004A067D" w:rsidRPr="00994000" w:rsidRDefault="00E3418B" w:rsidP="00E84D8C">
      <w:pPr>
        <w:pStyle w:val="BodyText"/>
        <w:spacing w:before="310" w:line="276" w:lineRule="auto"/>
        <w:ind w:left="100" w:right="3963"/>
        <w:rPr>
          <w:sz w:val="22"/>
          <w:lang w:val="fr-CA"/>
        </w:rPr>
      </w:pPr>
      <w:r w:rsidRPr="00994000">
        <w:rPr>
          <w:sz w:val="22"/>
          <w:lang w:val="fr-CA"/>
        </w:rPr>
        <w:t>L’honorable Peter Bethlenfalvy, ministre des Finances a/s Secrétariat aux finances et au budget</w:t>
      </w:r>
    </w:p>
    <w:p w14:paraId="4CA96CE1" w14:textId="77777777" w:rsidR="004A067D" w:rsidRPr="00994000" w:rsidRDefault="00E3418B">
      <w:pPr>
        <w:pStyle w:val="BodyText"/>
        <w:spacing w:line="275" w:lineRule="exact"/>
        <w:ind w:left="100"/>
        <w:rPr>
          <w:sz w:val="22"/>
        </w:rPr>
      </w:pPr>
      <w:r w:rsidRPr="00994000">
        <w:rPr>
          <w:sz w:val="22"/>
        </w:rPr>
        <w:t>Frost Building North</w:t>
      </w:r>
    </w:p>
    <w:p w14:paraId="1AC2C470" w14:textId="77777777" w:rsidR="004A067D" w:rsidRPr="00994000" w:rsidRDefault="00E3418B">
      <w:pPr>
        <w:pStyle w:val="BodyText"/>
        <w:spacing w:before="44" w:line="276" w:lineRule="auto"/>
        <w:ind w:left="100" w:right="6605"/>
        <w:rPr>
          <w:sz w:val="22"/>
        </w:rPr>
      </w:pPr>
      <w:r w:rsidRPr="00994000">
        <w:rPr>
          <w:sz w:val="22"/>
        </w:rPr>
        <w:t>3rd Floor, 95 Grosvenor Street Toronto ON M7A 1Z1</w:t>
      </w:r>
    </w:p>
    <w:p w14:paraId="626BC36A" w14:textId="77777777" w:rsidR="004A067D" w:rsidRPr="00994000" w:rsidRDefault="00E3418B" w:rsidP="00E84D8C">
      <w:pPr>
        <w:pStyle w:val="BodyText"/>
        <w:spacing w:before="270"/>
        <w:ind w:left="100"/>
        <w:rPr>
          <w:sz w:val="22"/>
          <w:lang w:val="fr-CA"/>
        </w:rPr>
      </w:pPr>
      <w:r w:rsidRPr="00994000">
        <w:rPr>
          <w:sz w:val="22"/>
          <w:u w:val="single"/>
          <w:lang w:val="fr-CA"/>
        </w:rPr>
        <w:t>Objet : Consultations prébudgétaires 2026</w:t>
      </w:r>
    </w:p>
    <w:p w14:paraId="0DEE0D83" w14:textId="77777777" w:rsidR="004A067D" w:rsidRPr="00994000" w:rsidRDefault="00E3418B" w:rsidP="00E84D8C">
      <w:pPr>
        <w:pStyle w:val="BodyText"/>
        <w:spacing w:before="230"/>
        <w:ind w:left="100"/>
        <w:rPr>
          <w:sz w:val="22"/>
          <w:lang w:val="fr-CA"/>
        </w:rPr>
      </w:pPr>
      <w:r w:rsidRPr="00994000">
        <w:rPr>
          <w:sz w:val="22"/>
          <w:lang w:val="fr-CA"/>
        </w:rPr>
        <w:t>Monsieur le ministre Bethlenfalvy,</w:t>
      </w:r>
    </w:p>
    <w:p w14:paraId="25E1C8DB" w14:textId="77777777" w:rsidR="004A067D" w:rsidRPr="00994000" w:rsidRDefault="00E3418B" w:rsidP="009F72BE">
      <w:pPr>
        <w:pStyle w:val="BodyText"/>
        <w:spacing w:before="310" w:line="276" w:lineRule="auto"/>
        <w:ind w:left="100" w:right="624"/>
        <w:rPr>
          <w:sz w:val="22"/>
          <w:lang w:val="fr-CA"/>
        </w:rPr>
      </w:pPr>
      <w:r w:rsidRPr="00994000">
        <w:rPr>
          <w:sz w:val="22"/>
          <w:lang w:val="fr-CA"/>
        </w:rPr>
        <w:t>J’écris au nom du Centre ontarien de défense des droits des locataires (ACTO). Il s’agit d’une clinique juridique communautaire spécialisée financée par Aide juridique Ontario. ACTO a pour mandat provincial de promouvoir et de défendre les intérêts des locataires à faible revenu concernant les questions qui ont une incidence sur leur capacité d’obtenir et de conserver un logement décent pour eux-mêmes et leur famille.</w:t>
      </w:r>
    </w:p>
    <w:p w14:paraId="683176AB" w14:textId="77777777" w:rsidR="004A067D" w:rsidRPr="00994000" w:rsidRDefault="00E3418B" w:rsidP="009F72BE">
      <w:pPr>
        <w:pStyle w:val="BodyText"/>
        <w:spacing w:before="270"/>
        <w:ind w:left="100"/>
        <w:rPr>
          <w:sz w:val="22"/>
          <w:lang w:val="fr-CA"/>
        </w:rPr>
      </w:pPr>
      <w:r w:rsidRPr="00994000">
        <w:rPr>
          <w:sz w:val="22"/>
          <w:lang w:val="fr-CA"/>
        </w:rPr>
        <w:t>La crise du logement en Ontario touche de façon disproportionnée les 1,7 million de ménages</w:t>
      </w:r>
    </w:p>
    <w:p w14:paraId="4CA26020" w14:textId="77777777" w:rsidR="004A067D" w:rsidRPr="00994000" w:rsidRDefault="00E3418B">
      <w:pPr>
        <w:pStyle w:val="BodyText"/>
        <w:spacing w:before="41"/>
        <w:ind w:left="100"/>
        <w:rPr>
          <w:sz w:val="22"/>
          <w:lang w:val="fr-CA"/>
        </w:rPr>
      </w:pPr>
      <w:r w:rsidRPr="00994000">
        <w:rPr>
          <w:sz w:val="22"/>
          <w:lang w:val="fr-CA"/>
        </w:rPr>
        <w:t>locataires de la province, en particulier ceux qui vivent avec un faible revenu.</w:t>
      </w:r>
    </w:p>
    <w:p w14:paraId="3EC1511B" w14:textId="77777777" w:rsidR="004A067D" w:rsidRDefault="00E3418B" w:rsidP="00E27E0E">
      <w:pPr>
        <w:pStyle w:val="ListParagraph"/>
        <w:numPr>
          <w:ilvl w:val="0"/>
          <w:numId w:val="1"/>
        </w:numPr>
        <w:tabs>
          <w:tab w:val="left" w:pos="821"/>
        </w:tabs>
        <w:spacing w:before="310" w:line="273" w:lineRule="auto"/>
        <w:ind w:right="784"/>
        <w:jc w:val="both"/>
        <w:rPr>
          <w:rFonts w:ascii="Calibri" w:hAnsi="Calibri"/>
          <w:sz w:val="14"/>
        </w:rPr>
      </w:pPr>
      <w:r w:rsidRPr="00994000">
        <w:rPr>
          <w:lang w:val="fr-CA"/>
        </w:rPr>
        <w:t>Quatre ménages locataires sur dix en Ontario consacrent 30 % ou plus de leur revenu au logement. Quinze pour cent consacrent 50 % ou plus de leur revenu au logement et sont davantage à risque de se retrouver en situation d’itinérance.</w:t>
      </w:r>
      <w:hyperlink w:anchor="_bookmark7" w:history="1">
        <w:r w:rsidRPr="00994000">
          <w:rPr>
            <w:vertAlign w:val="superscript"/>
            <w:lang w:val="fr-CA"/>
          </w:rPr>
          <w:t>1</w:t>
        </w:r>
      </w:hyperlink>
    </w:p>
    <w:p w14:paraId="19514982" w14:textId="77777777" w:rsidR="004A067D" w:rsidRPr="00994000" w:rsidRDefault="00E3418B">
      <w:pPr>
        <w:pStyle w:val="ListParagraph"/>
        <w:numPr>
          <w:ilvl w:val="0"/>
          <w:numId w:val="1"/>
        </w:numPr>
        <w:tabs>
          <w:tab w:val="left" w:pos="880"/>
          <w:tab w:val="left" w:pos="881"/>
        </w:tabs>
        <w:spacing w:before="12" w:line="268" w:lineRule="auto"/>
        <w:ind w:left="880" w:right="986"/>
        <w:rPr>
          <w:vertAlign w:val="superscript"/>
        </w:rPr>
      </w:pPr>
      <w:r w:rsidRPr="00994000">
        <w:rPr>
          <w:lang w:val="fr-CA"/>
        </w:rPr>
        <w:t>D’après les loyers moyens demandés, sept des dix villes les plus coûteuses pour les locataires se trouvent en Ontario.</w:t>
      </w:r>
      <w:hyperlink w:anchor="_bookmark8" w:history="1">
        <w:r w:rsidRPr="00994000">
          <w:rPr>
            <w:vertAlign w:val="superscript"/>
            <w:lang w:val="fr-CA"/>
          </w:rPr>
          <w:t>2</w:t>
        </w:r>
      </w:hyperlink>
    </w:p>
    <w:p w14:paraId="5E7DCBC1" w14:textId="77777777" w:rsidR="004A067D" w:rsidRPr="00453E65" w:rsidRDefault="00E3418B">
      <w:pPr>
        <w:pStyle w:val="ListParagraph"/>
        <w:numPr>
          <w:ilvl w:val="0"/>
          <w:numId w:val="1"/>
        </w:numPr>
        <w:tabs>
          <w:tab w:val="left" w:pos="880"/>
          <w:tab w:val="left" w:pos="881"/>
        </w:tabs>
        <w:spacing w:before="7" w:line="268" w:lineRule="auto"/>
        <w:ind w:left="880" w:right="1458"/>
        <w:rPr>
          <w:vertAlign w:val="superscript"/>
          <w:lang w:val="es-ES"/>
        </w:rPr>
      </w:pPr>
      <w:r w:rsidRPr="00994000">
        <w:rPr>
          <w:lang w:val="fr-CA"/>
        </w:rPr>
        <w:t>En 2025, 85 000 Ontariens étaient en situation d’itinérance, soit une augmentation de plus de 8 % par rapport à l’année précédente. Depuis 2001, l’itinérance a augmenté de 49,1 %</w:t>
      </w:r>
      <w:hyperlink w:anchor="_bookmark9" w:history="1">
        <w:r w:rsidRPr="00994000">
          <w:rPr>
            <w:szCs w:val="24"/>
            <w:vertAlign w:val="superscript"/>
            <w:lang w:val="fr-CA"/>
          </w:rPr>
          <w:t>3</w:t>
        </w:r>
      </w:hyperlink>
    </w:p>
    <w:p w14:paraId="1AFE888D" w14:textId="77777777" w:rsidR="004A067D" w:rsidRPr="00994000" w:rsidRDefault="00E3418B">
      <w:pPr>
        <w:pStyle w:val="BodyText"/>
        <w:spacing w:before="9" w:line="252" w:lineRule="auto"/>
        <w:ind w:left="1600" w:right="682" w:hanging="360"/>
        <w:rPr>
          <w:sz w:val="22"/>
          <w:vertAlign w:val="superscript"/>
        </w:rPr>
      </w:pPr>
      <w:r w:rsidRPr="00994000">
        <w:rPr>
          <w:rFonts w:ascii="Courier New"/>
          <w:sz w:val="22"/>
          <w:lang w:val="fr-CA"/>
        </w:rPr>
        <w:t xml:space="preserve">o </w:t>
      </w:r>
      <w:r w:rsidRPr="00994000">
        <w:rPr>
          <w:sz w:val="22"/>
          <w:lang w:val="fr-CA"/>
        </w:rPr>
        <w:t>Entre 2024 et 2025, l’itinérance dans le Nord de l’Ontario a augmenté de 37,3 %, et elle a progressé d’environ 117,5 % depuis 2001.</w:t>
      </w:r>
      <w:hyperlink w:anchor="_bookmark10" w:history="1">
        <w:r w:rsidRPr="00994000">
          <w:rPr>
            <w:sz w:val="22"/>
            <w:vertAlign w:val="superscript"/>
            <w:lang w:val="fr-CA"/>
          </w:rPr>
          <w:t>4</w:t>
        </w:r>
      </w:hyperlink>
    </w:p>
    <w:p w14:paraId="31C9501B" w14:textId="77777777" w:rsidR="004A067D" w:rsidRPr="00994000" w:rsidRDefault="00E3418B">
      <w:pPr>
        <w:pStyle w:val="ListParagraph"/>
        <w:numPr>
          <w:ilvl w:val="0"/>
          <w:numId w:val="1"/>
        </w:numPr>
        <w:tabs>
          <w:tab w:val="left" w:pos="880"/>
          <w:tab w:val="left" w:pos="881"/>
        </w:tabs>
        <w:spacing w:before="29" w:line="271" w:lineRule="auto"/>
        <w:ind w:left="880" w:right="575"/>
        <w:rPr>
          <w:vertAlign w:val="superscript"/>
        </w:rPr>
      </w:pPr>
      <w:r w:rsidRPr="00994000">
        <w:rPr>
          <w:lang w:val="fr-CA"/>
        </w:rPr>
        <w:t>On estime que l’Ontario accuse un manque de 60 000 à 100 000 logements avec services de soutien. Par conséquent, 27 000 Ontariens inscrits sur les listes d’attente pour un logement avec services de soutien font face à des délais pouvant atteindre sept ans.</w:t>
      </w:r>
      <w:hyperlink w:anchor="_bookmark11" w:history="1">
        <w:r w:rsidRPr="00994000">
          <w:rPr>
            <w:vertAlign w:val="superscript"/>
            <w:lang w:val="fr-CA"/>
          </w:rPr>
          <w:t>5</w:t>
        </w:r>
      </w:hyperlink>
    </w:p>
    <w:p w14:paraId="1312EF35" w14:textId="77777777" w:rsidR="004A067D" w:rsidRPr="00994000" w:rsidRDefault="00E3418B">
      <w:pPr>
        <w:pStyle w:val="ListParagraph"/>
        <w:numPr>
          <w:ilvl w:val="0"/>
          <w:numId w:val="1"/>
        </w:numPr>
        <w:tabs>
          <w:tab w:val="left" w:pos="880"/>
          <w:tab w:val="left" w:pos="881"/>
        </w:tabs>
        <w:spacing w:before="7" w:line="273" w:lineRule="auto"/>
        <w:ind w:left="880" w:right="637"/>
        <w:rPr>
          <w:vertAlign w:val="superscript"/>
        </w:rPr>
      </w:pPr>
      <w:r>
        <w:rPr>
          <w:lang w:val="fr-CA"/>
        </w:rPr>
        <w:t>Au total, 184 000 ménages en Ontario sont inscrits à des programmes de logement à loyer indexé sur le revenu (LIR), et 176 804 ménages supplémentaires figurent sur les listes d’attente pour un logement LIR : la demande est donc presque deux fois supérieure à l’offre actuelle.</w:t>
      </w:r>
      <w:hyperlink w:anchor="_bookmark12" w:history="1">
        <w:r w:rsidRPr="00994000">
          <w:rPr>
            <w:vertAlign w:val="superscript"/>
            <w:lang w:val="fr-CA"/>
          </w:rPr>
          <w:t>6</w:t>
        </w:r>
      </w:hyperlink>
    </w:p>
    <w:p w14:paraId="29A4C668" w14:textId="215E90CA" w:rsidR="004A067D" w:rsidRPr="00994000" w:rsidRDefault="00E3418B" w:rsidP="00E57569">
      <w:pPr>
        <w:pStyle w:val="ListParagraph"/>
        <w:numPr>
          <w:ilvl w:val="0"/>
          <w:numId w:val="1"/>
        </w:numPr>
        <w:tabs>
          <w:tab w:val="left" w:pos="880"/>
          <w:tab w:val="left" w:pos="881"/>
        </w:tabs>
        <w:spacing w:line="271" w:lineRule="auto"/>
        <w:ind w:left="880" w:right="584"/>
        <w:rPr>
          <w:lang w:val="fr-CA"/>
        </w:rPr>
      </w:pPr>
      <w:r w:rsidRPr="00994000">
        <w:rPr>
          <w:lang w:val="fr-CA"/>
        </w:rPr>
        <w:t xml:space="preserve">Entre 2020 et 2022, le nombre d’enfants vivant dans la pauvreté en Ontario a augmenté de 46 %, soit le taux de croissance de la pauvreté chez les enfants le plus élevé parmi </w:t>
      </w:r>
      <w:r w:rsidRPr="00994000">
        <w:rPr>
          <w:szCs w:val="24"/>
          <w:lang w:val="fr-CA"/>
        </w:rPr>
        <w:t>toutes</w:t>
      </w:r>
      <w:r w:rsidR="00E57569" w:rsidRPr="00994000">
        <w:rPr>
          <w:szCs w:val="24"/>
          <w:lang w:val="fr-CA"/>
        </w:rPr>
        <w:t xml:space="preserve"> </w:t>
      </w:r>
      <w:r w:rsidRPr="00994000">
        <w:rPr>
          <w:szCs w:val="24"/>
          <w:lang w:val="fr-CA"/>
        </w:rPr>
        <w:t>les provinces du Canada.</w:t>
      </w:r>
      <w:hyperlink w:anchor="_bookmark13" w:history="1">
        <w:r w:rsidRPr="00994000">
          <w:rPr>
            <w:szCs w:val="24"/>
            <w:vertAlign w:val="superscript"/>
            <w:lang w:val="fr-CA"/>
          </w:rPr>
          <w:t>7</w:t>
        </w:r>
      </w:hyperlink>
    </w:p>
    <w:p w14:paraId="3CC8CDBB" w14:textId="77777777" w:rsidR="004A067D" w:rsidRPr="000A65D1" w:rsidRDefault="00E3418B" w:rsidP="006B4FB0">
      <w:pPr>
        <w:pStyle w:val="BodyText"/>
        <w:spacing w:before="310" w:line="276" w:lineRule="auto"/>
        <w:ind w:left="100" w:right="530"/>
        <w:rPr>
          <w:sz w:val="22"/>
          <w:vertAlign w:val="superscript"/>
          <w:lang w:val="fr-FR"/>
        </w:rPr>
      </w:pPr>
      <w:r w:rsidRPr="00994000">
        <w:rPr>
          <w:sz w:val="22"/>
          <w:lang w:val="fr-CA"/>
        </w:rPr>
        <w:lastRenderedPageBreak/>
        <w:t>Les locataires à faibles et moyens revenus font face à une période économique incertaine, avec des barrières tarifaires, des pertes d’emploi et l’inflation qui accroissent leur vulnérabilité économique. Pour les locataires à faible et à moyen revenu, il existe très peu d’options de logement locatif qui ne les obligeront pas à payer un loyer inabordable et à se priver d’autres besoins essentiels. Cela est clairement illustré par les 60 % de locataires en Ontario qui déclarent réduire leurs dépenses alimentaires afin de payer leurs frais de logement.</w:t>
      </w:r>
      <w:hyperlink w:anchor="_bookmark14" w:history="1">
        <w:r w:rsidRPr="00994000">
          <w:rPr>
            <w:sz w:val="22"/>
            <w:szCs w:val="22"/>
            <w:vertAlign w:val="superscript"/>
            <w:lang w:val="fr-CA"/>
          </w:rPr>
          <w:t>8</w:t>
        </w:r>
      </w:hyperlink>
      <w:r>
        <w:rPr>
          <w:rFonts w:ascii="Times New Roman" w:hAnsi="Times New Roman"/>
          <w:sz w:val="13"/>
          <w:lang w:val="fr-CA"/>
        </w:rPr>
        <w:t xml:space="preserve"> </w:t>
      </w:r>
      <w:r w:rsidRPr="00994000">
        <w:rPr>
          <w:sz w:val="22"/>
          <w:lang w:val="fr-CA"/>
        </w:rPr>
        <w:t>Les banques alimentaires de Toronto ont enregistré plus de 4,1 millions de visites au cours de l’année 2024-2025, soit une augmentation de 340 % par rapport à 2019. Quatre-vingt-huit pour cent des personnes fréquentant ces banques vivent dans des logements inabordables.</w:t>
      </w:r>
      <w:hyperlink w:anchor="_bookmark15" w:history="1">
        <w:r w:rsidRPr="00994000">
          <w:rPr>
            <w:sz w:val="22"/>
            <w:vertAlign w:val="superscript"/>
            <w:lang w:val="fr-CA"/>
          </w:rPr>
          <w:t>9</w:t>
        </w:r>
      </w:hyperlink>
    </w:p>
    <w:p w14:paraId="760876A2" w14:textId="77777777" w:rsidR="004A067D" w:rsidRPr="00CA13B6" w:rsidRDefault="00E3418B" w:rsidP="00A70AC4">
      <w:pPr>
        <w:pStyle w:val="BodyText"/>
        <w:spacing w:before="270" w:line="276" w:lineRule="auto"/>
        <w:ind w:left="100" w:right="561"/>
        <w:rPr>
          <w:sz w:val="22"/>
          <w:vertAlign w:val="superscript"/>
          <w:lang w:val="fr-CA"/>
        </w:rPr>
      </w:pPr>
      <w:r w:rsidRPr="00994000">
        <w:rPr>
          <w:sz w:val="22"/>
          <w:lang w:val="fr-CA"/>
        </w:rPr>
        <w:t>Durant ces 20 dernières années, nous avons a perdu des unités de logements locatifs abordables sans construire assez d’unités pour les remplacer. De ce fait, les loyers moyens ont rapidement augmenté à mesure que le parc d’unités abordables diminuait Entre 2006 et 2016, l’Ontario a connu une diminution de 26 % du nombre de logements dont le loyer est inférieur à 1 000 $, tandis que le nombre de logements loués plus de 1 500 $ a bondi de 360 %, une hausse carrément stupéfiante. Cette tendance s’est accélérée. Entre 2016 et 2021, le nombre de logements loués moins de 1 000 $ a diminué de 36 % supplémentaires. La plus forte hausse concerne les logements locatifs de luxe, dont le loyer dépasse 3 000 $, et qui ont augmenté de 87 %.</w:t>
      </w:r>
      <w:hyperlink w:anchor="_bookmark16" w:history="1">
        <w:r w:rsidRPr="00994000">
          <w:rPr>
            <w:sz w:val="22"/>
            <w:vertAlign w:val="superscript"/>
            <w:lang w:val="fr-CA"/>
          </w:rPr>
          <w:t xml:space="preserve">10 </w:t>
        </w:r>
      </w:hyperlink>
      <w:r w:rsidRPr="00994000">
        <w:rPr>
          <w:sz w:val="22"/>
          <w:lang w:val="fr-CA"/>
        </w:rPr>
        <w:t>La perte continue de logements locatifs abordables se reflète dans les taux de vacance plus faibles pour les logements situés dans le quartile inférieur des loyers. En ce qui concerne la région métropolitaine de Toronto, le taux de vacance des logements situés dans la fourchette de loyers la plus basse est de 0,7 %, contre 5,4 % pour ceux du quartile de loyers le plus élevé.</w:t>
      </w:r>
      <w:hyperlink w:anchor="_bookmark17" w:history="1">
        <w:r w:rsidRPr="00994000">
          <w:rPr>
            <w:sz w:val="22"/>
            <w:vertAlign w:val="superscript"/>
            <w:lang w:val="fr-CA"/>
          </w:rPr>
          <w:t>11</w:t>
        </w:r>
      </w:hyperlink>
    </w:p>
    <w:p w14:paraId="750BE5A9" w14:textId="77777777" w:rsidR="004A067D" w:rsidRPr="00994000" w:rsidRDefault="00E3418B" w:rsidP="00265512">
      <w:pPr>
        <w:pStyle w:val="BodyText"/>
        <w:spacing w:before="270" w:line="276" w:lineRule="auto"/>
        <w:ind w:left="100" w:right="-11"/>
        <w:rPr>
          <w:sz w:val="22"/>
          <w:lang w:val="fr-CA"/>
        </w:rPr>
      </w:pPr>
      <w:r w:rsidRPr="00994000">
        <w:rPr>
          <w:sz w:val="22"/>
          <w:lang w:val="fr-CA"/>
        </w:rPr>
        <w:t>La crise du logement de l’Ontario nécessite des mesures immédiates. Il n’est plus possible d’attendre plus longtemps. Nous exhortons le gouvernement à adopter les recommandations suivantes.</w:t>
      </w:r>
    </w:p>
    <w:p w14:paraId="2DF57F81" w14:textId="77777777" w:rsidR="004A067D" w:rsidRDefault="00E3418B" w:rsidP="00265512">
      <w:pPr>
        <w:pStyle w:val="Heading1"/>
        <w:spacing w:before="360"/>
      </w:pPr>
      <w:r>
        <w:rPr>
          <w:color w:val="365F91"/>
          <w:lang w:val="fr-CA"/>
        </w:rPr>
        <w:t>Résumé des recommandations</w:t>
      </w:r>
    </w:p>
    <w:p w14:paraId="5216593A" w14:textId="77777777" w:rsidR="004A067D" w:rsidRPr="00994000" w:rsidRDefault="00E3418B" w:rsidP="0085081C">
      <w:pPr>
        <w:pStyle w:val="Heading2"/>
        <w:numPr>
          <w:ilvl w:val="0"/>
          <w:numId w:val="5"/>
        </w:numPr>
        <w:tabs>
          <w:tab w:val="left" w:pos="528"/>
        </w:tabs>
        <w:spacing w:before="310"/>
        <w:ind w:left="527" w:hanging="286"/>
        <w:jc w:val="left"/>
        <w:rPr>
          <w:sz w:val="22"/>
          <w:lang w:val="fr-CA"/>
        </w:rPr>
      </w:pPr>
      <w:r w:rsidRPr="00994000">
        <w:rPr>
          <w:sz w:val="22"/>
          <w:lang w:val="fr-CA"/>
        </w:rPr>
        <w:t>Donner la priorité à l’investissement dans le logement abordable</w:t>
      </w:r>
    </w:p>
    <w:p w14:paraId="3E69DE30" w14:textId="77777777" w:rsidR="004A067D" w:rsidRPr="00994000" w:rsidRDefault="00E3418B" w:rsidP="00274896">
      <w:pPr>
        <w:pStyle w:val="ListParagraph"/>
        <w:numPr>
          <w:ilvl w:val="1"/>
          <w:numId w:val="5"/>
        </w:numPr>
        <w:tabs>
          <w:tab w:val="left" w:pos="820"/>
          <w:tab w:val="left" w:pos="821"/>
        </w:tabs>
        <w:spacing w:before="1" w:line="264" w:lineRule="auto"/>
        <w:ind w:left="821" w:right="518" w:hanging="274"/>
        <w:rPr>
          <w:lang w:val="fr-CA"/>
        </w:rPr>
      </w:pPr>
      <w:r w:rsidRPr="00994000">
        <w:rPr>
          <w:lang w:val="fr-CA"/>
        </w:rPr>
        <w:t>Investir dans le développement et l’acquisition de logements sociaux et de logements à but non lucratif.</w:t>
      </w:r>
    </w:p>
    <w:p w14:paraId="7E7DA24A" w14:textId="77777777" w:rsidR="004A067D" w:rsidRPr="00994000" w:rsidRDefault="00E3418B" w:rsidP="00274896">
      <w:pPr>
        <w:pStyle w:val="ListParagraph"/>
        <w:numPr>
          <w:ilvl w:val="1"/>
          <w:numId w:val="5"/>
        </w:numPr>
        <w:tabs>
          <w:tab w:val="left" w:pos="820"/>
          <w:tab w:val="left" w:pos="821"/>
        </w:tabs>
        <w:spacing w:before="1" w:line="264" w:lineRule="auto"/>
        <w:ind w:left="821" w:right="518" w:hanging="274"/>
        <w:rPr>
          <w:lang w:val="fr-CA"/>
        </w:rPr>
      </w:pPr>
      <w:r w:rsidRPr="00994000">
        <w:rPr>
          <w:lang w:val="fr-CA"/>
        </w:rPr>
        <w:t>Réserver les terrains excédentaires exclusivement à des projets de logement sans but lucratif et de logements sociaux publics, tout en soutenant la création et l’essor de fiducies foncières communautaires.</w:t>
      </w:r>
    </w:p>
    <w:p w14:paraId="5F0D412C" w14:textId="77777777" w:rsidR="004A067D" w:rsidRPr="00994000" w:rsidRDefault="00E3418B" w:rsidP="00274896">
      <w:pPr>
        <w:pStyle w:val="Heading2"/>
        <w:numPr>
          <w:ilvl w:val="0"/>
          <w:numId w:val="5"/>
        </w:numPr>
        <w:tabs>
          <w:tab w:val="left" w:pos="528"/>
        </w:tabs>
        <w:spacing w:before="240"/>
        <w:ind w:left="527" w:hanging="286"/>
        <w:jc w:val="left"/>
        <w:rPr>
          <w:sz w:val="22"/>
          <w:lang w:val="fr-CA"/>
        </w:rPr>
      </w:pPr>
      <w:r w:rsidRPr="00994000">
        <w:rPr>
          <w:sz w:val="22"/>
          <w:lang w:val="fr-CA"/>
        </w:rPr>
        <w:t>Abroger le projet de loi</w:t>
      </w:r>
      <w:r w:rsidRPr="00994000">
        <w:rPr>
          <w:b w:val="0"/>
          <w:bCs w:val="0"/>
          <w:sz w:val="22"/>
          <w:lang w:val="fr-CA"/>
        </w:rPr>
        <w:t> </w:t>
      </w:r>
      <w:r w:rsidRPr="00994000">
        <w:rPr>
          <w:sz w:val="22"/>
          <w:lang w:val="fr-CA"/>
        </w:rPr>
        <w:t>60 et prévenir ses effets négatifs sur les locataires</w:t>
      </w:r>
    </w:p>
    <w:p w14:paraId="1A8A2CCC" w14:textId="77777777" w:rsidR="004A067D" w:rsidRPr="00994000" w:rsidRDefault="00E3418B" w:rsidP="00274896">
      <w:pPr>
        <w:pStyle w:val="ListParagraph"/>
        <w:numPr>
          <w:ilvl w:val="1"/>
          <w:numId w:val="5"/>
        </w:numPr>
        <w:tabs>
          <w:tab w:val="left" w:pos="821"/>
        </w:tabs>
        <w:spacing w:before="1" w:line="264" w:lineRule="auto"/>
        <w:ind w:left="821" w:right="518" w:hanging="274"/>
        <w:rPr>
          <w:lang w:val="fr-CA"/>
        </w:rPr>
      </w:pPr>
      <w:r w:rsidRPr="00994000">
        <w:rPr>
          <w:lang w:val="fr-CA"/>
        </w:rPr>
        <w:t>Abroger le projet de loi 60, qui compromettrait la sécurité du logement pour les locataires de toute la province.</w:t>
      </w:r>
    </w:p>
    <w:p w14:paraId="41E55298" w14:textId="77777777" w:rsidR="004A067D" w:rsidRPr="00994000" w:rsidRDefault="00E3418B" w:rsidP="00274896">
      <w:pPr>
        <w:pStyle w:val="ListParagraph"/>
        <w:numPr>
          <w:ilvl w:val="1"/>
          <w:numId w:val="5"/>
        </w:numPr>
        <w:tabs>
          <w:tab w:val="left" w:pos="821"/>
        </w:tabs>
        <w:spacing w:before="1" w:line="264" w:lineRule="auto"/>
        <w:ind w:left="821" w:right="518" w:hanging="274"/>
        <w:rPr>
          <w:lang w:val="fr-CA"/>
        </w:rPr>
      </w:pPr>
      <w:r w:rsidRPr="00994000">
        <w:rPr>
          <w:lang w:val="fr-CA"/>
        </w:rPr>
        <w:t>S’engager à consulter les locataires et les défenseurs du logement avant de mettre en œuvre des modifications à la Loi sur la location à usage d’habitation.</w:t>
      </w:r>
    </w:p>
    <w:p w14:paraId="799AAED3" w14:textId="77777777" w:rsidR="004A067D" w:rsidRPr="00994000" w:rsidRDefault="00E3418B" w:rsidP="00BD3F07">
      <w:pPr>
        <w:pStyle w:val="Heading2"/>
        <w:numPr>
          <w:ilvl w:val="0"/>
          <w:numId w:val="5"/>
        </w:numPr>
        <w:tabs>
          <w:tab w:val="left" w:pos="528"/>
        </w:tabs>
        <w:spacing w:before="240"/>
        <w:ind w:left="527" w:hanging="286"/>
        <w:jc w:val="left"/>
        <w:rPr>
          <w:sz w:val="22"/>
          <w:lang w:val="fr-CA"/>
        </w:rPr>
      </w:pPr>
      <w:r w:rsidRPr="00994000">
        <w:rPr>
          <w:sz w:val="22"/>
          <w:lang w:val="fr-CA"/>
        </w:rPr>
        <w:t>Mettre en œuvre un contrôle complet des loyers et renforcer la sécurité du logement pour les locataires</w:t>
      </w:r>
    </w:p>
    <w:p w14:paraId="3E31D18F" w14:textId="77777777" w:rsidR="004A067D" w:rsidRPr="00994000" w:rsidRDefault="00E3418B" w:rsidP="00274896">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 xml:space="preserve">Abrogation du paragraphe 113 </w:t>
      </w:r>
      <w:r w:rsidRPr="00994000">
        <w:rPr>
          <w:i/>
          <w:iCs/>
          <w:lang w:val="fr-CA"/>
        </w:rPr>
        <w:t xml:space="preserve">(Déréglementation des loyers en cas de vacance) </w:t>
      </w:r>
      <w:r w:rsidRPr="00994000">
        <w:rPr>
          <w:lang w:val="fr-CA"/>
        </w:rPr>
        <w:t>de la Loi de 2006 sur la location à usage d’habitation.</w:t>
      </w:r>
    </w:p>
    <w:p w14:paraId="17680882" w14:textId="77777777" w:rsidR="004A067D" w:rsidRPr="00994000" w:rsidRDefault="00E3418B" w:rsidP="00274896">
      <w:pPr>
        <w:pStyle w:val="ListParagraph"/>
        <w:numPr>
          <w:ilvl w:val="1"/>
          <w:numId w:val="5"/>
        </w:numPr>
        <w:tabs>
          <w:tab w:val="left" w:pos="820"/>
          <w:tab w:val="left" w:pos="821"/>
        </w:tabs>
        <w:spacing w:before="1" w:line="269" w:lineRule="auto"/>
        <w:ind w:right="519" w:hanging="280"/>
        <w:rPr>
          <w:lang w:val="fr-CA"/>
        </w:rPr>
      </w:pPr>
      <w:r w:rsidRPr="00994000">
        <w:rPr>
          <w:lang w:val="fr-CA"/>
        </w:rPr>
        <w:lastRenderedPageBreak/>
        <w:t xml:space="preserve">Abrogation des paragraphes 6.1 (2), 6.1 (3), 6.1 (4) et 6.1 (7) </w:t>
      </w:r>
      <w:r w:rsidRPr="00994000">
        <w:rPr>
          <w:i/>
          <w:iCs/>
          <w:lang w:val="fr-CA"/>
        </w:rPr>
        <w:t xml:space="preserve">(exemption de 2018) </w:t>
      </w:r>
      <w:r w:rsidRPr="00994000">
        <w:rPr>
          <w:lang w:val="fr-CA"/>
        </w:rPr>
        <w:t>de la Loi de 2006 sur la location à usage d’habitation.</w:t>
      </w:r>
    </w:p>
    <w:p w14:paraId="0D1B1CDA" w14:textId="77777777" w:rsidR="004A067D" w:rsidRPr="00994000" w:rsidRDefault="00E3418B" w:rsidP="00274896">
      <w:pPr>
        <w:pStyle w:val="ListParagraph"/>
        <w:numPr>
          <w:ilvl w:val="1"/>
          <w:numId w:val="5"/>
        </w:numPr>
        <w:tabs>
          <w:tab w:val="left" w:pos="820"/>
          <w:tab w:val="left" w:pos="821"/>
        </w:tabs>
        <w:spacing w:before="1" w:line="269" w:lineRule="auto"/>
        <w:ind w:right="519" w:hanging="280"/>
        <w:rPr>
          <w:lang w:val="fr-CA"/>
        </w:rPr>
      </w:pPr>
      <w:r w:rsidRPr="00994000">
        <w:rPr>
          <w:lang w:val="fr-CA"/>
        </w:rPr>
        <w:t>Abrogation des paragraphes 126 et 127 de la Loi de 2006 sur la location à usage d’habitation.</w:t>
      </w:r>
    </w:p>
    <w:p w14:paraId="66B62F3C" w14:textId="77777777" w:rsidR="004A067D" w:rsidRPr="00994000" w:rsidRDefault="00E3418B" w:rsidP="00B54816">
      <w:pPr>
        <w:pStyle w:val="Heading2"/>
        <w:numPr>
          <w:ilvl w:val="0"/>
          <w:numId w:val="5"/>
        </w:numPr>
        <w:tabs>
          <w:tab w:val="left" w:pos="528"/>
        </w:tabs>
        <w:spacing w:before="240"/>
        <w:ind w:left="527" w:hanging="286"/>
        <w:jc w:val="left"/>
        <w:rPr>
          <w:sz w:val="22"/>
          <w:lang w:val="fr-CA"/>
        </w:rPr>
      </w:pPr>
      <w:r w:rsidRPr="00994000">
        <w:rPr>
          <w:sz w:val="22"/>
          <w:lang w:val="fr-CA"/>
        </w:rPr>
        <w:t>Définir des objectifs clairs et mesurables et investir les ressources nécessaires pour mettre fin à l’itinérance chronique</w:t>
      </w:r>
    </w:p>
    <w:p w14:paraId="763EFDBD" w14:textId="77777777" w:rsidR="004A067D" w:rsidRPr="00994000" w:rsidRDefault="00E3418B" w:rsidP="00E6369E">
      <w:pPr>
        <w:pStyle w:val="ListParagraph"/>
        <w:numPr>
          <w:ilvl w:val="1"/>
          <w:numId w:val="5"/>
        </w:numPr>
        <w:tabs>
          <w:tab w:val="left" w:pos="820"/>
          <w:tab w:val="left" w:pos="821"/>
        </w:tabs>
        <w:spacing w:before="1" w:line="269" w:lineRule="auto"/>
        <w:ind w:left="821" w:right="519" w:hanging="274"/>
        <w:rPr>
          <w:lang w:val="fr-CA"/>
        </w:rPr>
      </w:pPr>
      <w:r w:rsidRPr="00994000">
        <w:rPr>
          <w:lang w:val="fr-CA"/>
        </w:rPr>
        <w:t>Effectuer des investissements importants et durables pour mettre fin à l’itinérance chronique et offrir des solutions de logement comme alternatives viables aux campements de fortune.</w:t>
      </w:r>
    </w:p>
    <w:p w14:paraId="69993FE8" w14:textId="77777777" w:rsidR="004A067D" w:rsidRPr="00994000" w:rsidRDefault="00E3418B" w:rsidP="00E6369E">
      <w:pPr>
        <w:pStyle w:val="ListParagraph"/>
        <w:numPr>
          <w:ilvl w:val="1"/>
          <w:numId w:val="5"/>
        </w:numPr>
        <w:tabs>
          <w:tab w:val="left" w:pos="820"/>
          <w:tab w:val="left" w:pos="821"/>
        </w:tabs>
        <w:spacing w:line="269" w:lineRule="auto"/>
        <w:ind w:left="821" w:hanging="274"/>
        <w:rPr>
          <w:lang w:val="fr-CA"/>
        </w:rPr>
      </w:pPr>
      <w:r w:rsidRPr="00994000">
        <w:rPr>
          <w:lang w:val="fr-CA"/>
        </w:rPr>
        <w:t>Élaborer des objectifs et des cibles clairs et mesurables pour mettre fin à l’itinérance chronique.</w:t>
      </w:r>
    </w:p>
    <w:p w14:paraId="3735980D" w14:textId="77777777" w:rsidR="004A067D" w:rsidRPr="00994000" w:rsidRDefault="00E3418B" w:rsidP="00E6369E">
      <w:pPr>
        <w:pStyle w:val="ListParagraph"/>
        <w:numPr>
          <w:ilvl w:val="1"/>
          <w:numId w:val="5"/>
        </w:numPr>
        <w:tabs>
          <w:tab w:val="left" w:pos="820"/>
          <w:tab w:val="left" w:pos="821"/>
        </w:tabs>
        <w:spacing w:line="269" w:lineRule="auto"/>
        <w:ind w:left="821" w:hanging="274"/>
        <w:rPr>
          <w:lang w:val="fr-CA"/>
        </w:rPr>
      </w:pPr>
      <w:r w:rsidRPr="00994000">
        <w:rPr>
          <w:lang w:val="fr-CA"/>
        </w:rPr>
        <w:t>Élaborer un protocole provincial sur les campements de fortune afin de garantir le respect des droits de la personne.</w:t>
      </w:r>
    </w:p>
    <w:p w14:paraId="707663C1" w14:textId="77777777" w:rsidR="004A067D" w:rsidRPr="00994000" w:rsidRDefault="00E3418B" w:rsidP="00B54816">
      <w:pPr>
        <w:pStyle w:val="Heading2"/>
        <w:numPr>
          <w:ilvl w:val="0"/>
          <w:numId w:val="5"/>
        </w:numPr>
        <w:tabs>
          <w:tab w:val="left" w:pos="528"/>
        </w:tabs>
        <w:spacing w:before="240"/>
        <w:ind w:left="527" w:hanging="286"/>
        <w:jc w:val="left"/>
        <w:rPr>
          <w:sz w:val="22"/>
          <w:lang w:val="fr-CA"/>
        </w:rPr>
      </w:pPr>
      <w:hyperlink w:anchor="_bookmark0" w:history="1">
        <w:r w:rsidRPr="00994000">
          <w:rPr>
            <w:sz w:val="22"/>
            <w:lang w:val="fr-CA"/>
          </w:rPr>
          <w:t>Répondre aux besoins des victimes-survivantes de la violence fondée sur le genre (VFG)</w:t>
        </w:r>
      </w:hyperlink>
    </w:p>
    <w:p w14:paraId="08DDD741"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Réintroduire et adopter immédiatement le projet de loi 55 (anciennement projet de loi 173) afin de déclarer la violence fondée sur le genre (VFG) une épidémie.</w:t>
      </w:r>
    </w:p>
    <w:p w14:paraId="4197A112"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Collaborer de manière significative avec les victimes-survivantes de violence fondée sur le genre (VFG), les défenseurs et les autres parties prenantes afin d’élaborer et de mettre en œuvre un plan global pour éliminer la VFG en Ontario.</w:t>
      </w:r>
    </w:p>
    <w:p w14:paraId="710AFBD0"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Élargir les options de logement en investissant dans le logement public, les unités de soutien et les prestations transférables afin de garantir que les victimes-survivantes puissent accéder à des logements sûrs et stables lorsqu’elles quittent les refuges.</w:t>
      </w:r>
    </w:p>
    <w:p w14:paraId="4D6B5751"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Créer un fonds de soutien pour les victimes-survivantes de la VFG.</w:t>
      </w:r>
    </w:p>
    <w:p w14:paraId="2A01A8E7"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Allouer les fonds et les ressources requis pour développer une stratégie VFG provinciale complète.</w:t>
      </w:r>
    </w:p>
    <w:p w14:paraId="0E4B21FF" w14:textId="77777777" w:rsidR="004A067D" w:rsidRPr="00994000" w:rsidRDefault="00E3418B" w:rsidP="00B54816">
      <w:pPr>
        <w:pStyle w:val="Heading2"/>
        <w:numPr>
          <w:ilvl w:val="0"/>
          <w:numId w:val="5"/>
        </w:numPr>
        <w:tabs>
          <w:tab w:val="left" w:pos="528"/>
        </w:tabs>
        <w:spacing w:before="240"/>
        <w:ind w:left="527" w:hanging="286"/>
        <w:jc w:val="left"/>
        <w:rPr>
          <w:sz w:val="22"/>
          <w:lang w:val="fr-CA"/>
        </w:rPr>
      </w:pPr>
      <w:hyperlink w:anchor="_bookmark2" w:history="1">
        <w:r w:rsidRPr="00994000">
          <w:rPr>
            <w:sz w:val="22"/>
            <w:lang w:val="fr-CA"/>
          </w:rPr>
          <w:t>Apporter des réformes significatives à la Commission de la location immobilière (CLI)</w:t>
        </w:r>
      </w:hyperlink>
    </w:p>
    <w:p w14:paraId="7363E1F1" w14:textId="77777777" w:rsidR="004A067D" w:rsidRPr="00994000" w:rsidRDefault="00E3418B" w:rsidP="00E6369E">
      <w:pPr>
        <w:pStyle w:val="ListParagraph"/>
        <w:numPr>
          <w:ilvl w:val="1"/>
          <w:numId w:val="5"/>
        </w:numPr>
        <w:tabs>
          <w:tab w:val="left" w:pos="821"/>
        </w:tabs>
        <w:spacing w:before="1" w:line="269" w:lineRule="auto"/>
        <w:ind w:left="821" w:right="518" w:hanging="274"/>
        <w:rPr>
          <w:lang w:val="fr-CA"/>
        </w:rPr>
      </w:pPr>
      <w:r w:rsidRPr="00994000">
        <w:rPr>
          <w:lang w:val="fr-CA"/>
        </w:rPr>
        <w:t>Offrir aux parties la possibilité de tenir des audiences en personne.</w:t>
      </w:r>
    </w:p>
    <w:p w14:paraId="59DFBE21" w14:textId="77777777" w:rsidR="004A067D" w:rsidRPr="00994000" w:rsidRDefault="00E3418B" w:rsidP="00E6369E">
      <w:pPr>
        <w:pStyle w:val="ListParagraph"/>
        <w:numPr>
          <w:ilvl w:val="1"/>
          <w:numId w:val="5"/>
        </w:numPr>
        <w:tabs>
          <w:tab w:val="left" w:pos="821"/>
        </w:tabs>
        <w:spacing w:before="1" w:line="269" w:lineRule="auto"/>
        <w:ind w:left="821" w:right="518" w:hanging="274"/>
        <w:rPr>
          <w:lang w:val="fr-CA"/>
        </w:rPr>
      </w:pPr>
      <w:r w:rsidRPr="00994000">
        <w:rPr>
          <w:lang w:val="fr-CA"/>
        </w:rPr>
        <w:t>Planifier les audiences par région afin de réduire les délais d’attente et d’améliorer l’accès à la justice.</w:t>
      </w:r>
    </w:p>
    <w:p w14:paraId="778DE142" w14:textId="77777777" w:rsidR="004A067D" w:rsidRPr="00994000" w:rsidRDefault="00E3418B" w:rsidP="00E6369E">
      <w:pPr>
        <w:pStyle w:val="ListParagraph"/>
        <w:numPr>
          <w:ilvl w:val="1"/>
          <w:numId w:val="5"/>
        </w:numPr>
        <w:tabs>
          <w:tab w:val="left" w:pos="821"/>
        </w:tabs>
        <w:spacing w:before="1" w:line="269" w:lineRule="auto"/>
        <w:ind w:left="821" w:right="518" w:hanging="274"/>
        <w:rPr>
          <w:lang w:val="fr-CA"/>
        </w:rPr>
      </w:pPr>
      <w:r w:rsidRPr="00994000">
        <w:rPr>
          <w:lang w:val="fr-CA"/>
        </w:rPr>
        <w:t>Rétablir le service au comptoir en personne dans les bureaux de Tribunals Ontario.</w:t>
      </w:r>
    </w:p>
    <w:p w14:paraId="1907A90D" w14:textId="77777777" w:rsidR="004A067D" w:rsidRPr="00994000" w:rsidRDefault="00E3418B" w:rsidP="00E6369E">
      <w:pPr>
        <w:pStyle w:val="ListParagraph"/>
        <w:numPr>
          <w:ilvl w:val="1"/>
          <w:numId w:val="5"/>
        </w:numPr>
        <w:tabs>
          <w:tab w:val="left" w:pos="821"/>
        </w:tabs>
        <w:spacing w:before="1" w:line="269" w:lineRule="auto"/>
        <w:ind w:left="821" w:right="518" w:hanging="274"/>
        <w:rPr>
          <w:lang w:val="fr-CA"/>
        </w:rPr>
      </w:pPr>
      <w:r w:rsidRPr="00994000">
        <w:rPr>
          <w:lang w:val="fr-CA"/>
        </w:rPr>
        <w:t>Exiger que le procureur général de l’Ontario et le juge en chef de la Cour de justice de l’Ontario recueillent et publient des données complètes et ventilées, permettant de suivre les causes relatives au logement locatif depuis le dépôt initial d’une demande à la CLI jusqu’aux résultats finaux.</w:t>
      </w:r>
    </w:p>
    <w:p w14:paraId="01047E84" w14:textId="77777777" w:rsidR="004A067D" w:rsidRPr="00994000" w:rsidRDefault="00E3418B" w:rsidP="00B54816">
      <w:pPr>
        <w:pStyle w:val="Heading2"/>
        <w:numPr>
          <w:ilvl w:val="0"/>
          <w:numId w:val="5"/>
        </w:numPr>
        <w:tabs>
          <w:tab w:val="left" w:pos="528"/>
        </w:tabs>
        <w:spacing w:before="240"/>
        <w:ind w:left="527" w:hanging="286"/>
        <w:jc w:val="left"/>
        <w:rPr>
          <w:sz w:val="22"/>
          <w:lang w:val="fr-CA"/>
        </w:rPr>
      </w:pPr>
      <w:hyperlink w:anchor="_bookmark3" w:history="1">
        <w:r w:rsidRPr="00994000">
          <w:rPr>
            <w:sz w:val="22"/>
            <w:lang w:val="fr-CA"/>
          </w:rPr>
          <w:t>Augmenter les capacités de l’Unité de contrôle du logement locatif (RHEU</w:t>
        </w:r>
        <w:r w:rsidRPr="00994000">
          <w:rPr>
            <w:b w:val="0"/>
            <w:bCs w:val="0"/>
            <w:sz w:val="22"/>
            <w:lang w:val="fr-CA"/>
          </w:rPr>
          <w:t>)</w:t>
        </w:r>
      </w:hyperlink>
    </w:p>
    <w:p w14:paraId="247636CB" w14:textId="77777777" w:rsidR="004A067D" w:rsidRPr="00994000" w:rsidRDefault="00E3418B" w:rsidP="00453E65">
      <w:pPr>
        <w:pStyle w:val="ListParagraph"/>
        <w:numPr>
          <w:ilvl w:val="1"/>
          <w:numId w:val="5"/>
        </w:numPr>
        <w:tabs>
          <w:tab w:val="left" w:pos="820"/>
          <w:tab w:val="left" w:pos="821"/>
        </w:tabs>
        <w:spacing w:before="1" w:line="238" w:lineRule="auto"/>
        <w:ind w:left="821" w:right="518" w:hanging="274"/>
        <w:rPr>
          <w:lang w:val="fr-CA"/>
        </w:rPr>
      </w:pPr>
      <w:r w:rsidRPr="00994000">
        <w:rPr>
          <w:lang w:val="fr-CA"/>
        </w:rPr>
        <w:t>Fournir des données en temps opportun afin d’expliquer l’écart entre le nombre d’appels et le nombre de dossiers, entre les dossiers ouverts et les condamnations, ainsi qu’en ce qui concerne l’application des sanctions maximales. Ces rapports à jour doivent être rendus publics et accessibles.</w:t>
      </w:r>
    </w:p>
    <w:p w14:paraId="6620BCFF" w14:textId="77777777" w:rsidR="004A067D" w:rsidRPr="00994000" w:rsidRDefault="00E3418B" w:rsidP="00453E65">
      <w:pPr>
        <w:pStyle w:val="ListParagraph"/>
        <w:numPr>
          <w:ilvl w:val="1"/>
          <w:numId w:val="5"/>
        </w:numPr>
        <w:tabs>
          <w:tab w:val="left" w:pos="820"/>
          <w:tab w:val="left" w:pos="821"/>
        </w:tabs>
        <w:spacing w:before="1" w:line="238" w:lineRule="auto"/>
        <w:ind w:left="821" w:right="518" w:hanging="274"/>
        <w:rPr>
          <w:lang w:val="fr-CA"/>
        </w:rPr>
      </w:pPr>
      <w:r w:rsidRPr="00994000">
        <w:rPr>
          <w:lang w:val="fr-CA"/>
        </w:rPr>
        <w:t>Accroître la capacité de l’Unité d’exécution des mesures relatives aux logements locatifs (RHEU)</w:t>
      </w:r>
    </w:p>
    <w:p w14:paraId="10FF7146" w14:textId="77777777" w:rsidR="004A067D" w:rsidRPr="00994000" w:rsidRDefault="00E3418B" w:rsidP="00453E65">
      <w:pPr>
        <w:pStyle w:val="ListParagraph"/>
        <w:numPr>
          <w:ilvl w:val="1"/>
          <w:numId w:val="5"/>
        </w:numPr>
        <w:tabs>
          <w:tab w:val="left" w:pos="820"/>
          <w:tab w:val="left" w:pos="821"/>
        </w:tabs>
        <w:spacing w:before="1" w:line="238" w:lineRule="auto"/>
        <w:ind w:left="821" w:right="518" w:hanging="274"/>
        <w:rPr>
          <w:lang w:val="fr-CA"/>
        </w:rPr>
      </w:pPr>
      <w:r w:rsidRPr="00994000">
        <w:rPr>
          <w:lang w:val="fr-CA"/>
        </w:rPr>
        <w:t>Renforcer le mandat de poursuite des contrevenants au moyen de procureurs attitrés.</w:t>
      </w:r>
    </w:p>
    <w:p w14:paraId="1FF57342" w14:textId="77777777" w:rsidR="004A067D" w:rsidRPr="00994000" w:rsidRDefault="00E3418B" w:rsidP="003C271D">
      <w:pPr>
        <w:pStyle w:val="Heading2"/>
        <w:numPr>
          <w:ilvl w:val="0"/>
          <w:numId w:val="5"/>
        </w:numPr>
        <w:tabs>
          <w:tab w:val="left" w:pos="528"/>
          <w:tab w:val="left" w:pos="528"/>
        </w:tabs>
        <w:spacing w:before="240"/>
        <w:ind w:left="527" w:hanging="286"/>
        <w:jc w:val="left"/>
        <w:rPr>
          <w:sz w:val="22"/>
          <w:lang w:val="fr-CA"/>
        </w:rPr>
      </w:pPr>
      <w:hyperlink w:anchor="_bookmark4" w:history="1">
        <w:r w:rsidRPr="00994000">
          <w:rPr>
            <w:sz w:val="22"/>
            <w:lang w:val="fr-CA"/>
          </w:rPr>
          <w:t>Garantir l’accès à la justice pour les Ontariens à faible revenu : Financer adéquatement</w:t>
        </w:r>
      </w:hyperlink>
      <w:hyperlink w:anchor="_bookmark4" w:history="1">
        <w:r w:rsidRPr="00994000">
          <w:rPr>
            <w:sz w:val="22"/>
            <w:lang w:val="fr-CA"/>
          </w:rPr>
          <w:t xml:space="preserve"> Aide juridique Ontario</w:t>
        </w:r>
      </w:hyperlink>
    </w:p>
    <w:p w14:paraId="6C43814B"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Restaurer le budget d’Aide juridique Ontario au minimum à son niveau d’avant 2019 (rajusté en fonction de l’inflation) afin de garantir l’accès à la justice et de veiller au bon fonctionnement des processus judiciaires pour les personnes à faible revenu partout en Ontario.</w:t>
      </w:r>
    </w:p>
    <w:p w14:paraId="22799CA0" w14:textId="77777777" w:rsidR="004A067D" w:rsidRPr="00994000" w:rsidRDefault="00E3418B" w:rsidP="003C271D">
      <w:pPr>
        <w:pStyle w:val="Heading2"/>
        <w:numPr>
          <w:ilvl w:val="0"/>
          <w:numId w:val="5"/>
        </w:numPr>
        <w:spacing w:before="240"/>
        <w:ind w:left="527" w:hanging="286"/>
        <w:jc w:val="left"/>
        <w:rPr>
          <w:sz w:val="22"/>
          <w:lang w:val="fr-CA"/>
        </w:rPr>
      </w:pPr>
      <w:hyperlink w:anchor="_bookmark5" w:history="1">
        <w:r w:rsidRPr="00A95D9E">
          <w:rPr>
            <w:sz w:val="22"/>
            <w:lang w:val="fr-CA"/>
          </w:rPr>
          <w:t>S’attaquer</w:t>
        </w:r>
        <w:r w:rsidRPr="00994000">
          <w:rPr>
            <w:sz w:val="22"/>
            <w:lang w:val="fr-CA"/>
          </w:rPr>
          <w:t xml:space="preserve"> aux coûts physiques et financiers que la crise climatique impose aux locataires</w:t>
        </w:r>
      </w:hyperlink>
    </w:p>
    <w:p w14:paraId="2E7A7B78"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 xml:space="preserve">Apporter des modifications à la </w:t>
      </w:r>
      <w:r w:rsidRPr="00882AFF">
        <w:rPr>
          <w:lang w:val="fr-CA"/>
        </w:rPr>
        <w:t>Loi sur la location à usage d’habitation</w:t>
      </w:r>
      <w:r w:rsidRPr="00994000">
        <w:rPr>
          <w:lang w:val="fr-CA"/>
        </w:rPr>
        <w:t xml:space="preserve"> afin d’y reconnaître l’accès à la climatisation comme un service essentiel.</w:t>
      </w:r>
    </w:p>
    <w:p w14:paraId="2BDF802A"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Assurer le suivi des décès liés à la chaleur, comme cela se fait en Colombie-Britannique.</w:t>
      </w:r>
    </w:p>
    <w:p w14:paraId="38448F5E"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Le Programme ontarien d’aide aux coûts d’électricité (OESP) devrait tenir compte de toute hausse des coûts supportés par les locataires en raison de la climatisation.</w:t>
      </w:r>
    </w:p>
    <w:p w14:paraId="393CE742"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Élargir le programme « Save on Energy – Energy Affordability Program » afin que tous les ménages locataires, dans tous les types de logements, aient accès gratuitement à des thermopompes.</w:t>
      </w:r>
    </w:p>
    <w:p w14:paraId="7080AE35"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Créer un nouveau fonds d’urgence pour les locataires déplacés par des crises climatiques.</w:t>
      </w:r>
    </w:p>
    <w:p w14:paraId="34382E40" w14:textId="77777777" w:rsidR="004A067D" w:rsidRPr="00994000" w:rsidRDefault="00E3418B" w:rsidP="003C271D">
      <w:pPr>
        <w:pStyle w:val="Heading2"/>
        <w:numPr>
          <w:ilvl w:val="0"/>
          <w:numId w:val="5"/>
        </w:numPr>
        <w:tabs>
          <w:tab w:val="left" w:pos="528"/>
        </w:tabs>
        <w:spacing w:before="240"/>
        <w:ind w:left="527" w:hanging="286"/>
        <w:jc w:val="left"/>
        <w:rPr>
          <w:sz w:val="22"/>
          <w:lang w:val="fr-CA"/>
        </w:rPr>
      </w:pPr>
      <w:hyperlink w:anchor="_bookmark6" w:history="1">
        <w:r w:rsidRPr="00994000">
          <w:rPr>
            <w:sz w:val="22"/>
            <w:lang w:val="fr-CA"/>
          </w:rPr>
          <w:t>Combler les lacunes critiques en matière de données sur le logement</w:t>
        </w:r>
      </w:hyperlink>
    </w:p>
    <w:p w14:paraId="6A531E05"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Créer un système centralisé pour recueillir et analyser des données désagrégées sur le logement, afin de cerner les collectivités où les besoins en matière de logement sont les plus grands. Ce système doit comprendre un registre public et consultable des bénéficiaires effectifs afin d’assurer la transparence de la propriété des logements locatifs.</w:t>
      </w:r>
    </w:p>
    <w:p w14:paraId="32DB2C2A" w14:textId="77777777" w:rsidR="004A067D" w:rsidRPr="00994000" w:rsidRDefault="00E3418B" w:rsidP="003C271D">
      <w:pPr>
        <w:pStyle w:val="Heading2"/>
        <w:numPr>
          <w:ilvl w:val="0"/>
          <w:numId w:val="5"/>
        </w:numPr>
        <w:tabs>
          <w:tab w:val="left" w:pos="528"/>
        </w:tabs>
        <w:spacing w:before="240"/>
        <w:ind w:left="527" w:hanging="286"/>
        <w:jc w:val="left"/>
        <w:rPr>
          <w:sz w:val="22"/>
        </w:rPr>
      </w:pPr>
      <w:r w:rsidRPr="00994000">
        <w:rPr>
          <w:sz w:val="22"/>
          <w:lang w:val="fr-CA"/>
        </w:rPr>
        <w:t>Redresser le système d’aide sociale</w:t>
      </w:r>
    </w:p>
    <w:p w14:paraId="1D3A0E84" w14:textId="77777777" w:rsidR="004A067D" w:rsidRPr="00994000" w:rsidRDefault="00E3418B" w:rsidP="00E6369E">
      <w:pPr>
        <w:pStyle w:val="ListParagraph"/>
        <w:numPr>
          <w:ilvl w:val="1"/>
          <w:numId w:val="5"/>
        </w:numPr>
        <w:tabs>
          <w:tab w:val="left" w:pos="820"/>
          <w:tab w:val="left" w:pos="821"/>
        </w:tabs>
        <w:spacing w:before="1" w:line="269" w:lineRule="auto"/>
        <w:ind w:left="821" w:right="518" w:hanging="274"/>
        <w:rPr>
          <w:lang w:val="fr-CA"/>
        </w:rPr>
      </w:pPr>
      <w:r w:rsidRPr="00994000">
        <w:rPr>
          <w:lang w:val="fr-CA"/>
        </w:rPr>
        <w:t>Indexer sur l’inflation les prestations d’Ontario au travail (OT) et du Programme ontarien de soutien aux personnes handicapées (POSPH).</w:t>
      </w:r>
    </w:p>
    <w:p w14:paraId="574BADD3" w14:textId="77777777" w:rsidR="004A067D" w:rsidRPr="00994000" w:rsidRDefault="004A067D">
      <w:pPr>
        <w:spacing w:line="271" w:lineRule="auto"/>
        <w:rPr>
          <w:lang w:val="fr-CA"/>
        </w:rPr>
        <w:sectPr w:rsidR="004A067D" w:rsidRPr="00994000" w:rsidSect="00D74827">
          <w:footerReference w:type="default" r:id="rId8"/>
          <w:headerReference w:type="first" r:id="rId9"/>
          <w:footerReference w:type="first" r:id="rId10"/>
          <w:pgSz w:w="12240" w:h="15840" w:code="1"/>
          <w:pgMar w:top="1354" w:right="922" w:bottom="1166" w:left="1339" w:header="302" w:footer="547" w:gutter="0"/>
          <w:cols w:space="720"/>
          <w:titlePg/>
          <w:docGrid w:linePitch="299"/>
        </w:sectPr>
      </w:pPr>
    </w:p>
    <w:p w14:paraId="0D58699F" w14:textId="77777777" w:rsidR="004A067D" w:rsidRPr="00E57569" w:rsidRDefault="00E3418B">
      <w:pPr>
        <w:pStyle w:val="Heading1"/>
        <w:rPr>
          <w:lang w:val="fr-CA"/>
        </w:rPr>
      </w:pPr>
      <w:r>
        <w:rPr>
          <w:color w:val="365F91"/>
          <w:lang w:val="fr-CA"/>
        </w:rPr>
        <w:lastRenderedPageBreak/>
        <w:t>Recommandations</w:t>
      </w:r>
    </w:p>
    <w:p w14:paraId="7BE9BF98" w14:textId="77777777" w:rsidR="004A067D" w:rsidRPr="00994000" w:rsidRDefault="00E3418B" w:rsidP="00A608AE">
      <w:pPr>
        <w:pStyle w:val="BodyText"/>
        <w:spacing w:before="270"/>
        <w:ind w:left="100"/>
        <w:jc w:val="both"/>
        <w:rPr>
          <w:sz w:val="22"/>
          <w:lang w:val="fr-CA"/>
        </w:rPr>
      </w:pPr>
      <w:r w:rsidRPr="00994000">
        <w:rPr>
          <w:sz w:val="22"/>
          <w:lang w:val="fr-CA"/>
        </w:rPr>
        <w:t>Nous recommandons que le gouvernement de l’Ontario doive immédiatement :</w:t>
      </w:r>
    </w:p>
    <w:p w14:paraId="23476D89" w14:textId="77777777" w:rsidR="004A067D" w:rsidRPr="00994000" w:rsidRDefault="00E3418B" w:rsidP="009C16E7">
      <w:pPr>
        <w:pStyle w:val="Heading2"/>
        <w:numPr>
          <w:ilvl w:val="0"/>
          <w:numId w:val="4"/>
        </w:numPr>
        <w:tabs>
          <w:tab w:val="left" w:pos="821"/>
        </w:tabs>
        <w:spacing w:before="310"/>
        <w:ind w:hanging="361"/>
        <w:rPr>
          <w:sz w:val="22"/>
          <w:lang w:val="fr-CA"/>
        </w:rPr>
      </w:pPr>
      <w:r w:rsidRPr="00994000">
        <w:rPr>
          <w:sz w:val="22"/>
          <w:lang w:val="fr-CA"/>
        </w:rPr>
        <w:t>Donner la priorité à l’investissement dans le logement abordable</w:t>
      </w:r>
    </w:p>
    <w:p w14:paraId="26C5E312" w14:textId="77777777" w:rsidR="004A067D" w:rsidRPr="000A65D1" w:rsidRDefault="00E3418B" w:rsidP="00BF0CBF">
      <w:pPr>
        <w:pStyle w:val="BodyText"/>
        <w:spacing w:before="310" w:line="271" w:lineRule="auto"/>
        <w:ind w:left="101" w:right="518"/>
        <w:jc w:val="both"/>
        <w:rPr>
          <w:sz w:val="22"/>
          <w:vertAlign w:val="superscript"/>
          <w:lang w:val="fr-FR"/>
        </w:rPr>
      </w:pPr>
      <w:r w:rsidRPr="00994000">
        <w:rPr>
          <w:sz w:val="22"/>
          <w:lang w:val="fr-CA"/>
        </w:rPr>
        <w:t>L’Ontario est la seule province ou le seul territoire au Canada où les municipalités sont seules responsables du logement social. L’Ontario applique ce modèle depuis trois décennies, ce qui a conduit à des listes d’attente quasi équivalentes à l’ensemble du parc actuel (avec des délais de plusieurs décennies) et à une diminution progressive et silencieuse du logement social existant.</w:t>
      </w:r>
      <w:hyperlink w:anchor="_bookmark18" w:history="1">
        <w:r w:rsidRPr="00994000">
          <w:rPr>
            <w:sz w:val="22"/>
            <w:vertAlign w:val="superscript"/>
            <w:lang w:val="fr-CA"/>
          </w:rPr>
          <w:t xml:space="preserve">12 </w:t>
        </w:r>
      </w:hyperlink>
      <w:r w:rsidRPr="00994000">
        <w:rPr>
          <w:sz w:val="22"/>
          <w:lang w:val="fr-CA"/>
        </w:rPr>
        <w:t>Avec 184 400 ménages en Ontario inscrits aux programmes de loyer indexé sur le revenu (LIR), 176 804 ménages supplémentaires figurent sur les listes d’attente pour ces programmes, ce qui signifie que la demande est presque deux fois supérieure à l’offre actuelle.</w:t>
      </w:r>
      <w:hyperlink w:anchor="_bookmark19" w:history="1">
        <w:r w:rsidRPr="00994000">
          <w:rPr>
            <w:sz w:val="22"/>
            <w:vertAlign w:val="superscript"/>
            <w:lang w:val="fr-CA"/>
          </w:rPr>
          <w:t>13</w:t>
        </w:r>
      </w:hyperlink>
      <w:r w:rsidRPr="00994000">
        <w:rPr>
          <w:sz w:val="22"/>
          <w:vertAlign w:val="superscript"/>
          <w:lang w:val="fr-CA"/>
        </w:rPr>
        <w:t xml:space="preserve"> </w:t>
      </w:r>
      <w:r w:rsidRPr="00994000">
        <w:rPr>
          <w:sz w:val="22"/>
          <w:lang w:val="fr-CA"/>
        </w:rPr>
        <w:t>Il est grand temps que la province reprenne son rôle historique d’investir dans le logement public, d’autant plus que le marché privé est nettement en retard par rapport aux objectifs de construction de logements.</w:t>
      </w:r>
      <w:hyperlink w:anchor="_bookmark20" w:history="1">
        <w:r w:rsidRPr="00994000">
          <w:rPr>
            <w:sz w:val="22"/>
            <w:vertAlign w:val="superscript"/>
            <w:lang w:val="fr-CA"/>
          </w:rPr>
          <w:t>14</w:t>
        </w:r>
      </w:hyperlink>
    </w:p>
    <w:p w14:paraId="20410E4F" w14:textId="77777777" w:rsidR="004A067D" w:rsidRPr="00994000" w:rsidRDefault="00E3418B" w:rsidP="00BF0CBF">
      <w:pPr>
        <w:pStyle w:val="BodyText"/>
        <w:spacing w:before="310" w:line="271" w:lineRule="auto"/>
        <w:ind w:left="101" w:right="518"/>
        <w:jc w:val="both"/>
        <w:rPr>
          <w:sz w:val="22"/>
          <w:lang w:val="fr-CA"/>
        </w:rPr>
      </w:pPr>
      <w:r w:rsidRPr="00994000">
        <w:rPr>
          <w:sz w:val="22"/>
          <w:lang w:val="fr-CA"/>
        </w:rPr>
        <w:t>L’un des moyens les plus efficaces d’étendre l’offre de logements abordables consiste à investir dans le développement de logements sociaux publics, sans but lucratif et les coopératives d’habitation. Le logement social, lorsqu’il dispose de ressources suffisantes pour les coûts d’immobilisations et de fonctionnement, a fait ses preuves en offrant des logements abordables à perpétuité aux Ontariennes et Ontariens. Ces logements stables, sécuritaires et abordables sont les logements vivement nécessaires dans les collectivités partout en Ontario. La nouvelle offre de logements sur le marché n’offre pas de loyers abordables — surtout pour les ménages à faible et moyen revenu.</w:t>
      </w:r>
    </w:p>
    <w:p w14:paraId="64C6C5CD" w14:textId="77777777" w:rsidR="004A067D" w:rsidRPr="000A65D1" w:rsidRDefault="00E3418B" w:rsidP="00BF0CBF">
      <w:pPr>
        <w:pStyle w:val="BodyText"/>
        <w:spacing w:before="310" w:line="271" w:lineRule="auto"/>
        <w:ind w:left="101" w:right="518"/>
        <w:jc w:val="both"/>
        <w:rPr>
          <w:sz w:val="22"/>
          <w:vertAlign w:val="superscript"/>
          <w:lang w:val="fr-FR"/>
        </w:rPr>
      </w:pPr>
      <w:r w:rsidRPr="00994000">
        <w:rPr>
          <w:sz w:val="22"/>
          <w:lang w:val="fr-CA"/>
        </w:rPr>
        <w:t>De plus, l’augmentation du nombre de logements sociaux, que ce soit par acquisition ou par construction de nouveaux immeubles, contribuera à contrer la financiarisation croissante du logement. Investir dans le secteur du logement à but non lucratif permettra également de créer des emplois, d’augmenter le revenu disponible des locataires et d’améliorer les conditions sociales, éducatives et sanitaires de nos quartiers et communautés. Pour atteindre la proportion de logements communautaires recommandée par l’OCDE, l’Ontario doit construire ou acquérir au moins 143 225 nouveaux logements d’ici 2030, soit une augmentation de 43 % par rapport au parc actuel.</w:t>
      </w:r>
      <w:hyperlink w:anchor="_bookmark21" w:history="1">
        <w:r w:rsidRPr="00994000">
          <w:rPr>
            <w:sz w:val="22"/>
            <w:vertAlign w:val="superscript"/>
            <w:lang w:val="fr-CA"/>
          </w:rPr>
          <w:t xml:space="preserve">15 </w:t>
        </w:r>
      </w:hyperlink>
      <w:r w:rsidRPr="00994000">
        <w:rPr>
          <w:sz w:val="22"/>
          <w:lang w:val="fr-CA"/>
        </w:rPr>
        <w:t>La création de ces logements supplémentaires ferait passer la productivité de 5,8 % à 9,5 %, ce qui équivaudrait à un gain de 43 à 70 milliards de dollars pour le PIB.</w:t>
      </w:r>
      <w:hyperlink w:anchor="_bookmark22" w:history="1">
        <w:r w:rsidRPr="00994000">
          <w:rPr>
            <w:sz w:val="22"/>
            <w:vertAlign w:val="superscript"/>
            <w:lang w:val="fr-CA"/>
          </w:rPr>
          <w:t>16</w:t>
        </w:r>
      </w:hyperlink>
    </w:p>
    <w:p w14:paraId="72B84079" w14:textId="0E6253F6" w:rsidR="004A067D" w:rsidRPr="00994000" w:rsidRDefault="00E3418B" w:rsidP="00BF0CBF">
      <w:pPr>
        <w:pStyle w:val="BodyText"/>
        <w:spacing w:before="310" w:line="271" w:lineRule="auto"/>
        <w:ind w:left="101" w:right="518"/>
        <w:jc w:val="both"/>
        <w:rPr>
          <w:sz w:val="22"/>
          <w:lang w:val="fr-CA"/>
        </w:rPr>
      </w:pPr>
      <w:r w:rsidRPr="00994000">
        <w:rPr>
          <w:sz w:val="22"/>
          <w:lang w:val="fr-CA"/>
        </w:rPr>
        <w:t>Le gouvernement provincial devrait donc utiliser les terrains et immeubles excédentaires pour la construction de logements abordables, en louant ou en vendant ces biens à un prix inférieur à la valeur marchande à des promoteurs sans but lucratif. Cela garantira que ces projets de logements demeureront abordables à perpétuité. La province devrait également promouvoir des modèles novateurs de propriété foncière, comme le modèle des fiducies foncières communautaires. Les fiducies foncières communautaires sont des organisations locales, privées et à but non lucratif qui achètent des terrains et les utilisent au profit de la communauté. Cette approche constitue pour le gouvernement un moyen de soustraire des immeubles au marché spéculatif</w:t>
      </w:r>
      <w:r w:rsidR="00B51CD5" w:rsidRPr="00994000">
        <w:rPr>
          <w:sz w:val="22"/>
          <w:lang w:val="fr-CA"/>
        </w:rPr>
        <w:t xml:space="preserve"> </w:t>
      </w:r>
      <w:r w:rsidRPr="00994000">
        <w:rPr>
          <w:sz w:val="22"/>
          <w:lang w:val="fr-CA"/>
        </w:rPr>
        <w:t>et de permettre au secteur sans but lucratif de construire des logements abordables pour les Ontariens et Ontariennes à faible revenu.</w:t>
      </w:r>
    </w:p>
    <w:p w14:paraId="6E0DD400" w14:textId="77777777" w:rsidR="004A067D" w:rsidRPr="00994000" w:rsidRDefault="00E3418B" w:rsidP="00937E1B">
      <w:pPr>
        <w:pStyle w:val="BodyText"/>
        <w:spacing w:before="310" w:line="276" w:lineRule="auto"/>
        <w:ind w:left="100" w:right="1033"/>
        <w:rPr>
          <w:sz w:val="22"/>
          <w:lang w:val="fr-CA"/>
        </w:rPr>
      </w:pPr>
      <w:r w:rsidRPr="00994000">
        <w:rPr>
          <w:sz w:val="22"/>
          <w:lang w:val="fr-CA"/>
        </w:rPr>
        <w:lastRenderedPageBreak/>
        <w:t>Nous vous exhortons à suivre ces recommandations. Nous encourageons également la mise en œuvre des sept recommandations formulées par United Way Greater Toronto pour créer des logements abordables et très abordables en Ontario.</w:t>
      </w:r>
      <w:hyperlink w:anchor="_bookmark23" w:history="1">
        <w:r w:rsidRPr="00994000">
          <w:rPr>
            <w:sz w:val="22"/>
            <w:vertAlign w:val="superscript"/>
            <w:lang w:val="fr-CA"/>
          </w:rPr>
          <w:t xml:space="preserve">17 </w:t>
        </w:r>
      </w:hyperlink>
      <w:r w:rsidRPr="00994000">
        <w:rPr>
          <w:sz w:val="22"/>
          <w:lang w:val="fr-CA"/>
        </w:rPr>
        <w:t>Nous vous demandons de continuer à soutenir le secteur du logement communautaire, représenté par l’Association ontarienne du logement à but non lucratif et la Fédération de l’habitation coopérative du Canada (région de l’Ontario).</w:t>
      </w:r>
    </w:p>
    <w:p w14:paraId="26F67306" w14:textId="77777777" w:rsidR="004A067D" w:rsidRPr="00994000" w:rsidRDefault="00E3418B" w:rsidP="00937E1B">
      <w:pPr>
        <w:pStyle w:val="Heading2"/>
        <w:spacing w:before="310"/>
        <w:rPr>
          <w:sz w:val="22"/>
        </w:rPr>
      </w:pPr>
      <w:r w:rsidRPr="00994000">
        <w:rPr>
          <w:sz w:val="22"/>
          <w:lang w:val="fr-CA"/>
        </w:rPr>
        <w:t>Recommandations</w:t>
      </w:r>
      <w:r w:rsidRPr="00994000">
        <w:rPr>
          <w:b w:val="0"/>
          <w:bCs w:val="0"/>
          <w:sz w:val="22"/>
          <w:lang w:val="fr-CA"/>
        </w:rPr>
        <w:t> </w:t>
      </w:r>
      <w:r w:rsidRPr="00994000">
        <w:rPr>
          <w:sz w:val="22"/>
          <w:lang w:val="fr-CA"/>
        </w:rPr>
        <w:t>:</w:t>
      </w:r>
    </w:p>
    <w:p w14:paraId="57A761C7" w14:textId="77777777" w:rsidR="004A067D" w:rsidRPr="00994000" w:rsidRDefault="00E3418B">
      <w:pPr>
        <w:pStyle w:val="ListParagraph"/>
        <w:numPr>
          <w:ilvl w:val="0"/>
          <w:numId w:val="3"/>
        </w:numPr>
        <w:tabs>
          <w:tab w:val="left" w:pos="821"/>
        </w:tabs>
        <w:spacing w:before="202" w:line="271" w:lineRule="auto"/>
        <w:ind w:right="515"/>
        <w:jc w:val="both"/>
        <w:rPr>
          <w:lang w:val="fr-CA"/>
        </w:rPr>
      </w:pPr>
      <w:r w:rsidRPr="00994000">
        <w:rPr>
          <w:lang w:val="fr-CA"/>
        </w:rPr>
        <w:t>Investir dans le développement et l’acquisition de logements sociaux et de logements à but non lucratif en construisant ou en acquérant au moins 143 225 nouveaux logements d’ici 2030.</w:t>
      </w:r>
    </w:p>
    <w:p w14:paraId="4B5EFCC3" w14:textId="77777777" w:rsidR="004A067D" w:rsidRPr="00994000" w:rsidRDefault="00E3418B">
      <w:pPr>
        <w:pStyle w:val="ListParagraph"/>
        <w:numPr>
          <w:ilvl w:val="0"/>
          <w:numId w:val="3"/>
        </w:numPr>
        <w:tabs>
          <w:tab w:val="left" w:pos="821"/>
        </w:tabs>
        <w:spacing w:before="7" w:line="273" w:lineRule="auto"/>
        <w:ind w:right="516"/>
        <w:jc w:val="both"/>
        <w:rPr>
          <w:lang w:val="fr-CA"/>
        </w:rPr>
      </w:pPr>
      <w:r w:rsidRPr="00994000">
        <w:rPr>
          <w:lang w:val="fr-CA"/>
        </w:rPr>
        <w:t>Veiller à ce que les terrains excédentaires soient préservés et attribués uniquement à des projets de logements à but non lucratif ou publics, tout en soutenant la création et le développement de fiducies foncières communautaires.</w:t>
      </w:r>
    </w:p>
    <w:p w14:paraId="0BE611ED" w14:textId="77777777" w:rsidR="004A067D" w:rsidRPr="00994000" w:rsidRDefault="00E3418B" w:rsidP="00937E1B">
      <w:pPr>
        <w:pStyle w:val="Heading2"/>
        <w:numPr>
          <w:ilvl w:val="0"/>
          <w:numId w:val="4"/>
        </w:numPr>
        <w:tabs>
          <w:tab w:val="left" w:pos="821"/>
        </w:tabs>
        <w:spacing w:before="310"/>
        <w:ind w:hanging="361"/>
        <w:rPr>
          <w:sz w:val="22"/>
          <w:lang w:val="fr-CA"/>
        </w:rPr>
      </w:pPr>
      <w:r w:rsidRPr="00994000">
        <w:rPr>
          <w:sz w:val="22"/>
          <w:lang w:val="fr-CA"/>
        </w:rPr>
        <w:t>Abroger le projet de loi</w:t>
      </w:r>
      <w:r w:rsidRPr="00994000">
        <w:rPr>
          <w:b w:val="0"/>
          <w:bCs w:val="0"/>
          <w:sz w:val="22"/>
          <w:lang w:val="fr-CA"/>
        </w:rPr>
        <w:t> </w:t>
      </w:r>
      <w:r w:rsidRPr="00994000">
        <w:rPr>
          <w:sz w:val="22"/>
          <w:lang w:val="fr-CA"/>
        </w:rPr>
        <w:t>60 et prévenir ses effets négatifs sur les locataires</w:t>
      </w:r>
    </w:p>
    <w:p w14:paraId="144A6E64" w14:textId="77777777" w:rsidR="004A067D" w:rsidRPr="00994000" w:rsidRDefault="00E3418B">
      <w:pPr>
        <w:pStyle w:val="BodyText"/>
        <w:spacing w:before="166" w:line="276" w:lineRule="auto"/>
        <w:ind w:left="100" w:right="281"/>
        <w:rPr>
          <w:sz w:val="22"/>
          <w:lang w:val="fr-CA"/>
        </w:rPr>
      </w:pPr>
      <w:r w:rsidRPr="00994000">
        <w:rPr>
          <w:sz w:val="22"/>
          <w:lang w:val="fr-CA"/>
        </w:rPr>
        <w:t>Les locataires de tout l’Ontario font face à une incertitude économique et à des pressions financières. Le gouvernement devrait renforcer la sécurité du logement et la stabilité résidentielle. Le projet de loi 60 récemment adopté, Loi sur la réduction des délais et l’accélération de la construction de 2025, affaiblit au contraire les protections des locataires et menace la stabilité du logement dans toute la province. Les réformes introduites par le projet de loi 60 mettent en danger le droit au logement, laissant les locataires avec moins de moyens et de temps pour contester les expulsions et les déplacements injustes.</w:t>
      </w:r>
    </w:p>
    <w:p w14:paraId="07333AF9" w14:textId="77777777" w:rsidR="004A067D" w:rsidRPr="00994000" w:rsidRDefault="00E3418B" w:rsidP="00937E1B">
      <w:pPr>
        <w:pStyle w:val="BodyText"/>
        <w:spacing w:before="310"/>
        <w:ind w:left="100"/>
        <w:rPr>
          <w:sz w:val="22"/>
          <w:lang w:val="fr-CA"/>
        </w:rPr>
      </w:pPr>
      <w:r w:rsidRPr="00994000">
        <w:rPr>
          <w:sz w:val="22"/>
          <w:lang w:val="fr-CA"/>
        </w:rPr>
        <w:t>Le projet de loi 60 compromet la protection des locataires et la stabilité de leur logement en :</w:t>
      </w:r>
    </w:p>
    <w:p w14:paraId="536A1508" w14:textId="77777777" w:rsidR="004A067D" w:rsidRPr="00994000" w:rsidRDefault="00E3418B">
      <w:pPr>
        <w:pStyle w:val="ListParagraph"/>
        <w:numPr>
          <w:ilvl w:val="0"/>
          <w:numId w:val="3"/>
        </w:numPr>
        <w:tabs>
          <w:tab w:val="left" w:pos="820"/>
          <w:tab w:val="left" w:pos="821"/>
        </w:tabs>
        <w:spacing w:before="44"/>
        <w:ind w:hanging="361"/>
        <w:rPr>
          <w:lang w:val="fr-CA"/>
        </w:rPr>
      </w:pPr>
      <w:r w:rsidRPr="00994000">
        <w:rPr>
          <w:lang w:val="fr-CA"/>
        </w:rPr>
        <w:t>réduisant à seulement 7 jours le délai pour rembourser le loyer afin d’éviter une audience d’expulsion;</w:t>
      </w:r>
    </w:p>
    <w:p w14:paraId="27B5C50D" w14:textId="77777777" w:rsidR="004A067D" w:rsidRPr="00994000" w:rsidRDefault="00E3418B">
      <w:pPr>
        <w:pStyle w:val="ListParagraph"/>
        <w:numPr>
          <w:ilvl w:val="0"/>
          <w:numId w:val="3"/>
        </w:numPr>
        <w:tabs>
          <w:tab w:val="left" w:pos="820"/>
          <w:tab w:val="left" w:pos="821"/>
        </w:tabs>
        <w:spacing w:before="39"/>
        <w:ind w:hanging="361"/>
        <w:rPr>
          <w:lang w:val="fr-CA"/>
        </w:rPr>
      </w:pPr>
      <w:r w:rsidRPr="00994000">
        <w:rPr>
          <w:lang w:val="fr-CA"/>
        </w:rPr>
        <w:t>réduisant le délai pour faire appel des décisions de la CLI de 30 jours à seulement 15 jours;</w:t>
      </w:r>
    </w:p>
    <w:p w14:paraId="035541D8" w14:textId="77777777" w:rsidR="004A067D" w:rsidRPr="00994000" w:rsidRDefault="00E3418B">
      <w:pPr>
        <w:pStyle w:val="ListParagraph"/>
        <w:numPr>
          <w:ilvl w:val="0"/>
          <w:numId w:val="3"/>
        </w:numPr>
        <w:tabs>
          <w:tab w:val="left" w:pos="820"/>
          <w:tab w:val="left" w:pos="821"/>
        </w:tabs>
        <w:spacing w:before="37" w:line="271" w:lineRule="auto"/>
        <w:ind w:right="486"/>
        <w:rPr>
          <w:lang w:val="fr-CA"/>
        </w:rPr>
      </w:pPr>
      <w:r w:rsidRPr="00994000">
        <w:rPr>
          <w:lang w:val="fr-CA"/>
        </w:rPr>
        <w:t>imposant des obstacles financiers aux locataires avant qu’ils puissent soulever des problèmes tels que des dégradations ou des questions de sécurité lors de leur audience pour arriérés;</w:t>
      </w:r>
    </w:p>
    <w:p w14:paraId="78CB9ED5" w14:textId="77777777" w:rsidR="004A067D" w:rsidRPr="00994000" w:rsidRDefault="00E3418B">
      <w:pPr>
        <w:pStyle w:val="ListParagraph"/>
        <w:numPr>
          <w:ilvl w:val="0"/>
          <w:numId w:val="3"/>
        </w:numPr>
        <w:tabs>
          <w:tab w:val="left" w:pos="820"/>
          <w:tab w:val="left" w:pos="821"/>
        </w:tabs>
        <w:spacing w:before="9"/>
        <w:ind w:hanging="361"/>
        <w:rPr>
          <w:lang w:val="fr-CA"/>
        </w:rPr>
      </w:pPr>
      <w:r w:rsidRPr="00994000">
        <w:rPr>
          <w:lang w:val="fr-CA"/>
        </w:rPr>
        <w:t>supprimant l’indemnisation d’un mois de loyer pour les expulsions pour « usage personnel du propriétaire » (N12)</w:t>
      </w:r>
    </w:p>
    <w:p w14:paraId="36994765" w14:textId="77777777" w:rsidR="004A067D" w:rsidRPr="00994000" w:rsidRDefault="00E3418B">
      <w:pPr>
        <w:pStyle w:val="BodyText"/>
        <w:spacing w:before="39"/>
        <w:ind w:left="820"/>
        <w:rPr>
          <w:sz w:val="22"/>
          <w:lang w:val="fr-CA"/>
        </w:rPr>
      </w:pPr>
      <w:r w:rsidRPr="00994000">
        <w:rPr>
          <w:sz w:val="22"/>
          <w:lang w:val="fr-CA"/>
        </w:rPr>
        <w:t>si le propriétaire donne un préavis de 4 mois.</w:t>
      </w:r>
    </w:p>
    <w:p w14:paraId="4784A068" w14:textId="5B515DD1" w:rsidR="004A067D" w:rsidRPr="00994000" w:rsidRDefault="00E3418B" w:rsidP="00937E1B">
      <w:pPr>
        <w:pStyle w:val="BodyText"/>
        <w:spacing w:before="310" w:line="276" w:lineRule="auto"/>
        <w:ind w:left="100" w:right="595"/>
        <w:rPr>
          <w:sz w:val="22"/>
          <w:lang w:val="fr-CA"/>
        </w:rPr>
      </w:pPr>
      <w:r w:rsidRPr="00994000">
        <w:rPr>
          <w:sz w:val="22"/>
          <w:lang w:val="fr-CA"/>
        </w:rPr>
        <w:t>Ces dispositions facilitent les expulsions par des propriétaires financiarisés et leur permettent de contourner les règles de contrôle des loyers pour relouer les logements à des tarifs beaucoup plus élevés. Les Ontariens qui perdent leur emploi à cause des tarifs et les groupes protégés par le Code des droits de la personne de l’Ontario seront les plus exposés au risque d’expulsion, tout en se voyant refuser l’accès à la justice auprès de la CLI. La CLI est l’un des tribunaux les plus fréquentés du système judiciaire ontarien, recevant plus de 90 000 demandes d’audiences chaque année; elle n’a pas été en mesure de gérer sa charge de travail depuis la mise en place du système d’audiences uniquement virtuelles. De plus, les locataires se sont vus refuser des audiences équitables en raison</w:t>
      </w:r>
      <w:r w:rsidR="00D70A24" w:rsidRPr="00994000">
        <w:rPr>
          <w:sz w:val="22"/>
          <w:lang w:val="fr-CA"/>
        </w:rPr>
        <w:t xml:space="preserve"> </w:t>
      </w:r>
      <w:r w:rsidRPr="00994000">
        <w:rPr>
          <w:sz w:val="22"/>
          <w:lang w:val="fr-CA"/>
        </w:rPr>
        <w:t xml:space="preserve">d’importants obstacles </w:t>
      </w:r>
      <w:r w:rsidRPr="00994000">
        <w:rPr>
          <w:sz w:val="22"/>
          <w:lang w:val="fr-CA"/>
        </w:rPr>
        <w:lastRenderedPageBreak/>
        <w:t>technologiques, d’accessibilité et procéduraux. Le projet de loi 60 entraînera un nombre plus élevé de demandes d’expulsion, exercera une pression accrue sur la CLI et contribuera au retard persistant.</w:t>
      </w:r>
    </w:p>
    <w:p w14:paraId="211A3712" w14:textId="77777777" w:rsidR="004A067D" w:rsidRPr="00994000" w:rsidRDefault="00E3418B" w:rsidP="00E071CB">
      <w:pPr>
        <w:pStyle w:val="BodyText"/>
        <w:spacing w:before="310" w:line="276" w:lineRule="auto"/>
        <w:ind w:left="100" w:right="682"/>
        <w:rPr>
          <w:sz w:val="22"/>
          <w:lang w:val="fr-CA"/>
        </w:rPr>
      </w:pPr>
      <w:r w:rsidRPr="00994000">
        <w:rPr>
          <w:sz w:val="22"/>
          <w:lang w:val="fr-CA"/>
        </w:rPr>
        <w:t>Nous exhortons le gouvernement de l’Ontario à mener une consultation pertinente avec les locataires, les défenseurs du logement et les organismes communautaires avant de mettre en œuvre des politiques qui touchent la vie de dizaines de milliers d’Ontariens et Ontariennes.</w:t>
      </w:r>
    </w:p>
    <w:p w14:paraId="1B8C1606" w14:textId="77777777" w:rsidR="004A067D" w:rsidRPr="00994000" w:rsidRDefault="00E3418B" w:rsidP="00E071CB">
      <w:pPr>
        <w:pStyle w:val="Heading2"/>
        <w:spacing w:before="310" w:line="276" w:lineRule="auto"/>
        <w:ind w:right="682"/>
        <w:rPr>
          <w:sz w:val="22"/>
        </w:rPr>
      </w:pPr>
      <w:r w:rsidRPr="00994000">
        <w:rPr>
          <w:sz w:val="22"/>
          <w:lang w:val="fr-CA"/>
        </w:rPr>
        <w:t>Recommandations</w:t>
      </w:r>
      <w:r w:rsidRPr="00994000">
        <w:rPr>
          <w:b w:val="0"/>
          <w:bCs w:val="0"/>
          <w:sz w:val="22"/>
          <w:lang w:val="fr-CA"/>
        </w:rPr>
        <w:t> </w:t>
      </w:r>
      <w:r w:rsidRPr="00994000">
        <w:rPr>
          <w:sz w:val="22"/>
          <w:lang w:val="fr-CA"/>
        </w:rPr>
        <w:t>:</w:t>
      </w:r>
    </w:p>
    <w:p w14:paraId="683595B5" w14:textId="77777777" w:rsidR="004A067D" w:rsidRPr="00994000" w:rsidRDefault="00E3418B">
      <w:pPr>
        <w:pStyle w:val="ListParagraph"/>
        <w:numPr>
          <w:ilvl w:val="0"/>
          <w:numId w:val="3"/>
        </w:numPr>
        <w:tabs>
          <w:tab w:val="left" w:pos="820"/>
          <w:tab w:val="left" w:pos="821"/>
        </w:tabs>
        <w:spacing w:before="41"/>
        <w:ind w:hanging="361"/>
        <w:rPr>
          <w:lang w:val="fr-CA"/>
        </w:rPr>
      </w:pPr>
      <w:r w:rsidRPr="00994000">
        <w:rPr>
          <w:lang w:val="fr-CA"/>
        </w:rPr>
        <w:t>Abroger le projet de loi 60, qui compromet la sécurité du logement des locataires dans toute la province.</w:t>
      </w:r>
    </w:p>
    <w:p w14:paraId="6ABD1D10" w14:textId="77777777" w:rsidR="004A067D" w:rsidRPr="00994000" w:rsidRDefault="00E3418B">
      <w:pPr>
        <w:pStyle w:val="ListParagraph"/>
        <w:numPr>
          <w:ilvl w:val="0"/>
          <w:numId w:val="3"/>
        </w:numPr>
        <w:tabs>
          <w:tab w:val="left" w:pos="820"/>
          <w:tab w:val="left" w:pos="821"/>
        </w:tabs>
        <w:spacing w:before="40" w:line="271" w:lineRule="auto"/>
        <w:ind w:right="781"/>
        <w:rPr>
          <w:lang w:val="fr-CA"/>
        </w:rPr>
      </w:pPr>
      <w:r w:rsidRPr="00994000">
        <w:rPr>
          <w:lang w:val="fr-CA"/>
        </w:rPr>
        <w:t>Consulter les locataires et les défenseurs du logement avant d’élaborer des règlements pouvant avoir des effets néfastes sur la stabilité du logement de milliers d’Ontariens et d’Ontariennes.</w:t>
      </w:r>
    </w:p>
    <w:p w14:paraId="476C4C9C" w14:textId="77777777" w:rsidR="004A067D" w:rsidRPr="00994000" w:rsidRDefault="00E3418B" w:rsidP="00E071CB">
      <w:pPr>
        <w:pStyle w:val="Heading2"/>
        <w:numPr>
          <w:ilvl w:val="0"/>
          <w:numId w:val="4"/>
        </w:numPr>
        <w:tabs>
          <w:tab w:val="left" w:pos="821"/>
        </w:tabs>
        <w:spacing w:before="310"/>
        <w:ind w:hanging="361"/>
        <w:rPr>
          <w:sz w:val="22"/>
          <w:lang w:val="fr-CA"/>
        </w:rPr>
      </w:pPr>
      <w:r w:rsidRPr="00994000">
        <w:rPr>
          <w:sz w:val="22"/>
          <w:lang w:val="fr-CA"/>
        </w:rPr>
        <w:t>Mettre en œuvre un contrôle complet des loyers et renforcer la sécurité du logement pour les locataires</w:t>
      </w:r>
    </w:p>
    <w:p w14:paraId="142BAFB6" w14:textId="77777777" w:rsidR="004A067D" w:rsidRPr="00994000" w:rsidRDefault="00E3418B" w:rsidP="00E071CB">
      <w:pPr>
        <w:pStyle w:val="BodyText"/>
        <w:spacing w:before="310" w:line="276" w:lineRule="auto"/>
        <w:ind w:left="100" w:right="682"/>
        <w:rPr>
          <w:sz w:val="22"/>
          <w:lang w:val="fr-CA"/>
        </w:rPr>
      </w:pPr>
      <w:r w:rsidRPr="00994000">
        <w:rPr>
          <w:sz w:val="22"/>
          <w:lang w:val="fr-CA"/>
        </w:rPr>
        <w:t>En cette période d’incertitude économique, la mise en œuvre d’un contrôle global des loyers permettrait d’assurer la stabilité des locataires et de renforcer le contrôle des loyers.</w:t>
      </w:r>
    </w:p>
    <w:p w14:paraId="13238698" w14:textId="77777777" w:rsidR="004A067D" w:rsidRPr="000A65D1" w:rsidRDefault="00E3418B" w:rsidP="00E071CB">
      <w:pPr>
        <w:pStyle w:val="BodyText"/>
        <w:spacing w:before="310" w:line="276" w:lineRule="auto"/>
        <w:ind w:left="100" w:right="350"/>
        <w:rPr>
          <w:sz w:val="22"/>
          <w:vertAlign w:val="superscript"/>
          <w:lang w:val="fr-FR"/>
        </w:rPr>
      </w:pPr>
      <w:r w:rsidRPr="00994000">
        <w:rPr>
          <w:sz w:val="22"/>
          <w:lang w:val="fr-CA"/>
        </w:rPr>
        <w:t>La déréglementation des loyers à la remise en location, en place depuis 1998, permet aux propriétaires de fixer librement les loyers pour les nouveaux locataires des logements vacants. Cette politique a progressivement réduit l’offre de logements abordables, comme en témoignent la forte baisse des logements locatifs abordables et l’essor des logements de luxe au cours des 15 dernières années.</w:t>
      </w:r>
      <w:hyperlink w:anchor="_bookmark24" w:history="1">
        <w:r w:rsidRPr="00994000">
          <w:rPr>
            <w:sz w:val="22"/>
            <w:vertAlign w:val="superscript"/>
            <w:lang w:val="fr-CA"/>
          </w:rPr>
          <w:t xml:space="preserve">18 </w:t>
        </w:r>
      </w:hyperlink>
      <w:r w:rsidRPr="00994000">
        <w:rPr>
          <w:sz w:val="22"/>
          <w:lang w:val="fr-CA"/>
        </w:rPr>
        <w:t>En effet, les nouveaux locataires en Ontario paient en moyenne 19 % de plus en loyer (soit environ 320 $/mois) par rapport aux locataires déjà en place.</w:t>
      </w:r>
      <w:hyperlink w:anchor="_bookmark25" w:history="1">
        <w:r w:rsidRPr="00994000">
          <w:rPr>
            <w:sz w:val="22"/>
            <w:vertAlign w:val="superscript"/>
            <w:lang w:val="fr-CA"/>
          </w:rPr>
          <w:t xml:space="preserve">19 </w:t>
        </w:r>
      </w:hyperlink>
      <w:r w:rsidRPr="00994000">
        <w:rPr>
          <w:sz w:val="22"/>
          <w:lang w:val="fr-CA"/>
        </w:rPr>
        <w:t>Le désencadrement des loyers à la remise en location piège les locataires dans leur logement actuel en rendant les déménagements inabordables, tout en offrant aux propriétaires un puissant incitatif à expulser leurs locataires de longue date. De 2020 à 2023, on a constaté en Ontario une hausse sans précédent de 85 % du nombre de demandes de reprise de logement par les propriétaires.</w:t>
      </w:r>
      <w:hyperlink w:anchor="_bookmark26" w:history="1">
        <w:r w:rsidRPr="00994000">
          <w:rPr>
            <w:sz w:val="22"/>
            <w:vertAlign w:val="superscript"/>
            <w:lang w:val="fr-CA"/>
          </w:rPr>
          <w:t>20</w:t>
        </w:r>
      </w:hyperlink>
    </w:p>
    <w:p w14:paraId="18456CE5" w14:textId="70D2B6BD" w:rsidR="004A067D" w:rsidRPr="00994000" w:rsidRDefault="00E3418B" w:rsidP="00E071CB">
      <w:pPr>
        <w:pStyle w:val="BodyText"/>
        <w:spacing w:before="310" w:line="276" w:lineRule="auto"/>
        <w:ind w:left="100" w:right="682"/>
        <w:rPr>
          <w:sz w:val="22"/>
          <w:vertAlign w:val="superscript"/>
          <w:lang w:val="fr-CA"/>
        </w:rPr>
      </w:pPr>
      <w:r w:rsidRPr="00994000">
        <w:rPr>
          <w:sz w:val="22"/>
          <w:lang w:val="fr-CA"/>
        </w:rPr>
        <w:t>L’exemption de 2018 au contrôle des loyers visait à répondre à la crise du logement abordable en stimulant le développement de logements locatifs. Les logements locatifs récemment construits n’ont pas permis de réduire la crise du logement abordable. Ces logements sont exemptés du contrôle des loyers et sont beaucoup plus chers que les logements locatifs plus anciens.</w:t>
      </w:r>
      <w:hyperlink w:anchor="_bookmark27" w:history="1">
        <w:r w:rsidRPr="00994000">
          <w:rPr>
            <w:sz w:val="22"/>
            <w:vertAlign w:val="superscript"/>
            <w:lang w:val="fr-CA"/>
          </w:rPr>
          <w:t xml:space="preserve">21 </w:t>
        </w:r>
      </w:hyperlink>
      <w:r w:rsidRPr="00994000">
        <w:rPr>
          <w:sz w:val="22"/>
          <w:lang w:val="fr-CA"/>
        </w:rPr>
        <w:t>En 2025, le loyer moyen des logements locatifs neufs de deux chambres dans la région du Grand Toronto était de 3 086 $, contre un loyer moyen de</w:t>
      </w:r>
      <w:r w:rsidR="005B7DFF" w:rsidRPr="00994000">
        <w:rPr>
          <w:sz w:val="22"/>
          <w:lang w:val="fr-CA"/>
        </w:rPr>
        <w:t xml:space="preserve"> </w:t>
      </w:r>
      <w:r w:rsidRPr="00994000">
        <w:rPr>
          <w:sz w:val="22"/>
          <w:lang w:val="fr-CA"/>
        </w:rPr>
        <w:t>2 034 $. À Ottawa, le loyer moyen des logements neufs de deux chambres était de 2 669 $, comparativement à un loyer moyen de 1 926 $. À London, le loyer moyen des logements neufs était de 2 431 $, comparativement à un loyer moyen de 1 651 $. À Windsor, le loyer moyen des logements neufs était de 2 329 $, comparativement à la moyenne de 1 454 $.</w:t>
      </w:r>
      <w:hyperlink w:anchor="_bookmark28" w:history="1">
        <w:r w:rsidRPr="00994000">
          <w:rPr>
            <w:sz w:val="22"/>
            <w:vertAlign w:val="superscript"/>
            <w:lang w:val="fr-CA"/>
          </w:rPr>
          <w:t>22</w:t>
        </w:r>
      </w:hyperlink>
    </w:p>
    <w:p w14:paraId="0E111BD9" w14:textId="3261BB03" w:rsidR="004A067D" w:rsidRPr="00994000" w:rsidRDefault="00E3418B" w:rsidP="00E071CB">
      <w:pPr>
        <w:pStyle w:val="BodyText"/>
        <w:spacing w:before="310" w:line="273" w:lineRule="auto"/>
        <w:ind w:left="100" w:right="520"/>
        <w:jc w:val="both"/>
        <w:rPr>
          <w:sz w:val="22"/>
          <w:lang w:val="fr-CA"/>
        </w:rPr>
      </w:pPr>
      <w:r w:rsidRPr="00994000">
        <w:rPr>
          <w:sz w:val="22"/>
          <w:lang w:val="fr-CA"/>
        </w:rPr>
        <w:t xml:space="preserve">L’exemption de 2018 incite les promoteurs à démolir des immeubles plus anciens et abordables pour les remplacer par des logements de luxe, ce qui force les résidents de longue date à </w:t>
      </w:r>
      <w:r w:rsidRPr="00994000">
        <w:rPr>
          <w:sz w:val="22"/>
          <w:lang w:val="fr-CA"/>
        </w:rPr>
        <w:lastRenderedPageBreak/>
        <w:t>quitter leur quartier et détruit le parc de logements abordables.</w:t>
      </w:r>
      <w:hyperlink w:anchor="_bookmark29" w:history="1">
        <w:r w:rsidRPr="00994000">
          <w:rPr>
            <w:sz w:val="22"/>
            <w:vertAlign w:val="superscript"/>
            <w:lang w:val="fr-CA"/>
          </w:rPr>
          <w:t xml:space="preserve">23 </w:t>
        </w:r>
      </w:hyperlink>
      <w:r w:rsidRPr="00994000">
        <w:rPr>
          <w:sz w:val="22"/>
          <w:lang w:val="fr-CA"/>
        </w:rPr>
        <w:t>En 2022, la CLI a traité plus de 5 500 demandes d’éviction pour démolition, soit une augmentation de 41 %</w:t>
      </w:r>
      <w:r w:rsidR="00D70A24" w:rsidRPr="00994000">
        <w:rPr>
          <w:sz w:val="22"/>
          <w:lang w:val="fr-CA"/>
        </w:rPr>
        <w:t xml:space="preserve"> </w:t>
      </w:r>
      <w:r w:rsidRPr="00994000">
        <w:rPr>
          <w:sz w:val="22"/>
          <w:lang w:val="fr-CA"/>
        </w:rPr>
        <w:t>en trois ans.</w:t>
      </w:r>
      <w:hyperlink w:anchor="_bookmark30" w:history="1">
        <w:r w:rsidRPr="00994000">
          <w:rPr>
            <w:sz w:val="22"/>
            <w:vertAlign w:val="superscript"/>
            <w:lang w:val="fr-CA"/>
          </w:rPr>
          <w:t xml:space="preserve">24 </w:t>
        </w:r>
      </w:hyperlink>
      <w:r w:rsidRPr="00994000">
        <w:rPr>
          <w:sz w:val="22"/>
          <w:lang w:val="fr-CA"/>
        </w:rPr>
        <w:t>Présentement, à Toronto, plus de 10 000 résidents risquent de faire l’objet d’une éviction pour démolition dans 100 immeubles à risque. Ces familles peuvent subir des relogements forcés et des charges financières imprévues. Les seuls frais de déménagement sont estimés entre</w:t>
      </w:r>
    </w:p>
    <w:p w14:paraId="41660476" w14:textId="77777777" w:rsidR="004A067D" w:rsidRPr="000A65D1" w:rsidRDefault="00E3418B">
      <w:pPr>
        <w:pStyle w:val="BodyText"/>
        <w:spacing w:line="271" w:lineRule="auto"/>
        <w:ind w:left="100" w:right="1640"/>
        <w:rPr>
          <w:sz w:val="22"/>
          <w:vertAlign w:val="superscript"/>
          <w:lang w:val="fr-FR"/>
        </w:rPr>
      </w:pPr>
      <w:r w:rsidRPr="00994000">
        <w:rPr>
          <w:sz w:val="22"/>
          <w:lang w:val="fr-CA"/>
        </w:rPr>
        <w:t>1 879 $ et 4 320 $ pour un studio ou un logement d’une chambre, et entre 2 507 $ et 5 361 $ pour un logement de deux chambres.</w:t>
      </w:r>
      <w:hyperlink w:anchor="_bookmark31" w:history="1">
        <w:r w:rsidRPr="00994000">
          <w:rPr>
            <w:sz w:val="22"/>
            <w:vertAlign w:val="superscript"/>
            <w:lang w:val="fr-CA"/>
          </w:rPr>
          <w:t>25</w:t>
        </w:r>
      </w:hyperlink>
    </w:p>
    <w:p w14:paraId="0FAA3072" w14:textId="4C007F29" w:rsidR="004A067D" w:rsidRPr="00994000" w:rsidRDefault="00E3418B" w:rsidP="00C133C8">
      <w:pPr>
        <w:pStyle w:val="BodyText"/>
        <w:spacing w:before="310" w:line="278" w:lineRule="auto"/>
        <w:ind w:left="100" w:right="587"/>
        <w:rPr>
          <w:sz w:val="22"/>
          <w:lang w:val="fr-CA"/>
        </w:rPr>
      </w:pPr>
      <w:r w:rsidRPr="00994000">
        <w:rPr>
          <w:sz w:val="22"/>
          <w:lang w:val="fr-CA"/>
        </w:rPr>
        <w:t>Instauré en 1992 et modifié en 2006, ce mécanisme permet aux propriétaires de logements assujettis au contrôle des loyers de présenter à la CLI une demande d’augmentation supérieure au taux légal (AGI) afin de transmettre les coûts à leurs locataires.</w:t>
      </w:r>
      <w:r w:rsidR="00655FAF" w:rsidRPr="00994000">
        <w:rPr>
          <w:sz w:val="22"/>
          <w:lang w:val="fr-CA"/>
        </w:rPr>
        <w:t xml:space="preserve"> </w:t>
      </w:r>
      <w:r w:rsidRPr="00994000">
        <w:rPr>
          <w:sz w:val="22"/>
          <w:lang w:val="fr-CA"/>
        </w:rPr>
        <w:t>Plafonnées à un taux de 3 % par année pendant trois ans (en plus des augmentations annuelles régulières permises), les justifications des AGI peuvent inclure des rénovations (mais non l’entretien), de nouvelles mesures de sécurité et des hausses de taxes foncières. Malgré l’intention de faire arriver à échéance les AGI une fois les coûts recouvrés, il n’existe aucun mécanisme pour y mettre fin. Par conséquent, les locataires continuent le plus souvent à payer des loyers plus élevés indéfiniment. Étant donné que les propriétaires sont déjà légalement tenus d’entretenir leurs immeubles, les AGI peuvent, de façon perverse, récompenser la négligence. La plupart des petits propriétaires considèrent l’entretien comme une dépense normale de fonctionnement et gèrent leurs biens sans AGI, ce qui prouve que ces augmentations ne sont pas nécessaires pour l’entretien des immeubles.</w:t>
      </w:r>
      <w:hyperlink w:anchor="_bookmark32" w:history="1">
        <w:r w:rsidRPr="00994000">
          <w:rPr>
            <w:sz w:val="22"/>
            <w:vertAlign w:val="superscript"/>
            <w:lang w:val="fr-CA"/>
          </w:rPr>
          <w:t>26</w:t>
        </w:r>
      </w:hyperlink>
      <w:r w:rsidRPr="00994000">
        <w:rPr>
          <w:sz w:val="22"/>
          <w:vertAlign w:val="superscript"/>
          <w:lang w:val="fr-CA"/>
        </w:rPr>
        <w:t xml:space="preserve"> </w:t>
      </w:r>
      <w:r w:rsidRPr="00994000">
        <w:rPr>
          <w:sz w:val="22"/>
          <w:lang w:val="fr-CA"/>
        </w:rPr>
        <w:t>En revanche, les grands propriétaires, souvent financiarisés, considèrent les AGI comme une source de revenus importante. Par exemple, de janvier à août 2022, 50 % des 470 demandes d’AGI ont été présentées par seulement 20 propriétaires. Fait révélateur, parmi les cinq principaux (qui, à eux seuls, étaient à l’origine de 25 % des demandes d’AGI), quatre étaient des sociétés financiarisées.</w:t>
      </w:r>
    </w:p>
    <w:p w14:paraId="212546FF" w14:textId="2D1D9860" w:rsidR="004A067D" w:rsidRPr="00994000" w:rsidRDefault="00E3418B" w:rsidP="00C133C8">
      <w:pPr>
        <w:pStyle w:val="BodyText"/>
        <w:spacing w:before="310" w:line="276" w:lineRule="auto"/>
        <w:ind w:left="100" w:right="281"/>
        <w:rPr>
          <w:sz w:val="22"/>
          <w:lang w:val="fr-CA"/>
        </w:rPr>
      </w:pPr>
      <w:r w:rsidRPr="00994000">
        <w:rPr>
          <w:sz w:val="22"/>
          <w:lang w:val="fr-CA"/>
        </w:rPr>
        <w:t>En conséquence des AGI, les locataires paient, au fil du temps, des dizaines de milliers de dollars de plus en loyers considérablement plus élevés. L’impact se prolonge sur</w:t>
      </w:r>
    </w:p>
    <w:p w14:paraId="2E216587" w14:textId="636B7683" w:rsidR="004A067D" w:rsidRPr="00994000" w:rsidRDefault="00103801">
      <w:pPr>
        <w:pStyle w:val="BodyText"/>
        <w:spacing w:line="276" w:lineRule="auto"/>
        <w:ind w:left="100" w:right="6564"/>
        <w:rPr>
          <w:sz w:val="22"/>
          <w:lang w:val="fr-CA"/>
        </w:rPr>
      </w:pPr>
      <w:r>
        <w:rPr>
          <w:sz w:val="22"/>
          <w:lang w:val="fr-CA"/>
        </w:rPr>
        <w:pict w14:anchorId="6333E60B">
          <v:shapetype id="_x0000_t202" coordsize="21600,21600" o:spt="202" path="m,l,21600r21600,l21600,xe">
            <v:stroke joinstyle="miter"/>
            <v:path gradientshapeok="t" o:connecttype="rect"/>
          </v:shapetype>
          <v:shape id="_x0000_s2064" type="#_x0000_t202" style="position:absolute;left:0;text-align:left;margin-left:279.75pt;margin-top:8.05pt;width:285.6pt;height:124.25pt;z-index:251663360;mso-position-horizontal-relative:page" filled="f" stroked="f">
            <v:textbox style="mso-next-textbox:#_x0000_s2064" inset="0,0,0,0">
              <w:txbxContent>
                <w:tbl>
                  <w:tblPr>
                    <w:tblW w:w="524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9"/>
                    <w:gridCol w:w="1380"/>
                    <w:gridCol w:w="1380"/>
                    <w:gridCol w:w="1487"/>
                  </w:tblGrid>
                  <w:tr w:rsidR="004A067D" w:rsidRPr="00CA13B6" w14:paraId="694A7ABB" w14:textId="77777777" w:rsidTr="00C724FA">
                    <w:trPr>
                      <w:trHeight w:val="327"/>
                    </w:trPr>
                    <w:tc>
                      <w:tcPr>
                        <w:tcW w:w="5246" w:type="dxa"/>
                        <w:gridSpan w:val="4"/>
                        <w:tcBorders>
                          <w:top w:val="nil"/>
                          <w:right w:val="nil"/>
                        </w:tcBorders>
                        <w:shd w:val="clear" w:color="auto" w:fill="8812FF"/>
                      </w:tcPr>
                      <w:p w14:paraId="07A1E7E9" w14:textId="77777777" w:rsidR="004A067D" w:rsidRPr="00C724FA" w:rsidRDefault="00E3418B">
                        <w:pPr>
                          <w:pStyle w:val="TableParagraph"/>
                          <w:spacing w:before="6" w:line="301" w:lineRule="exact"/>
                          <w:ind w:left="188"/>
                          <w:rPr>
                            <w:b/>
                            <w:lang w:val="fr-CA"/>
                          </w:rPr>
                        </w:pPr>
                        <w:r w:rsidRPr="00C724FA">
                          <w:rPr>
                            <w:b/>
                            <w:bCs/>
                            <w:color w:val="FFFFFF"/>
                            <w:lang w:val="fr-CA"/>
                          </w:rPr>
                          <w:t>Loyer supplémentaire total payé en raison des AGI* :</w:t>
                        </w:r>
                      </w:p>
                    </w:tc>
                  </w:tr>
                  <w:tr w:rsidR="004A067D" w14:paraId="30B7CFBD" w14:textId="77777777" w:rsidTr="00C724FA">
                    <w:trPr>
                      <w:trHeight w:val="538"/>
                    </w:trPr>
                    <w:tc>
                      <w:tcPr>
                        <w:tcW w:w="999" w:type="dxa"/>
                        <w:tcBorders>
                          <w:bottom w:val="single" w:sz="12" w:space="0" w:color="000000"/>
                        </w:tcBorders>
                      </w:tcPr>
                      <w:p w14:paraId="695354C3" w14:textId="77777777" w:rsidR="004A067D" w:rsidRPr="00C724FA" w:rsidRDefault="00E3418B">
                        <w:pPr>
                          <w:pStyle w:val="TableParagraph"/>
                          <w:spacing w:line="240" w:lineRule="auto"/>
                          <w:ind w:left="33"/>
                          <w:rPr>
                            <w:b/>
                            <w:sz w:val="16"/>
                            <w:szCs w:val="16"/>
                          </w:rPr>
                        </w:pPr>
                        <w:r w:rsidRPr="00C724FA">
                          <w:rPr>
                            <w:b/>
                            <w:bCs/>
                            <w:sz w:val="16"/>
                            <w:szCs w:val="16"/>
                            <w:lang w:val="fr-CA"/>
                          </w:rPr>
                          <w:t>Durée :</w:t>
                        </w:r>
                      </w:p>
                    </w:tc>
                    <w:tc>
                      <w:tcPr>
                        <w:tcW w:w="1380" w:type="dxa"/>
                        <w:tcBorders>
                          <w:bottom w:val="single" w:sz="12" w:space="0" w:color="000000"/>
                        </w:tcBorders>
                      </w:tcPr>
                      <w:p w14:paraId="3CE7AE35" w14:textId="77777777" w:rsidR="004A067D" w:rsidRPr="00C724FA" w:rsidRDefault="00E3418B">
                        <w:pPr>
                          <w:pStyle w:val="TableParagraph"/>
                          <w:spacing w:line="240" w:lineRule="auto"/>
                          <w:ind w:left="33"/>
                          <w:rPr>
                            <w:b/>
                            <w:sz w:val="16"/>
                            <w:szCs w:val="16"/>
                          </w:rPr>
                        </w:pPr>
                        <w:r w:rsidRPr="00C724FA">
                          <w:rPr>
                            <w:b/>
                            <w:bCs/>
                            <w:sz w:val="16"/>
                            <w:szCs w:val="16"/>
                            <w:lang w:val="fr-CA"/>
                          </w:rPr>
                          <w:t>Loyer de départ</w:t>
                        </w:r>
                        <w:r w:rsidRPr="00C724FA">
                          <w:rPr>
                            <w:sz w:val="16"/>
                            <w:szCs w:val="16"/>
                            <w:lang w:val="fr-CA"/>
                          </w:rPr>
                          <w:t> :</w:t>
                        </w:r>
                      </w:p>
                      <w:p w14:paraId="1F12FA47" w14:textId="77777777" w:rsidR="004A067D" w:rsidRPr="00C724FA" w:rsidRDefault="00E3418B">
                        <w:pPr>
                          <w:pStyle w:val="TableParagraph"/>
                          <w:spacing w:before="21" w:line="238" w:lineRule="exact"/>
                          <w:ind w:left="33"/>
                          <w:rPr>
                            <w:b/>
                            <w:sz w:val="16"/>
                            <w:szCs w:val="16"/>
                          </w:rPr>
                        </w:pPr>
                        <w:r w:rsidRPr="00C724FA">
                          <w:rPr>
                            <w:b/>
                            <w:bCs/>
                            <w:sz w:val="16"/>
                            <w:szCs w:val="16"/>
                            <w:lang w:val="fr-CA"/>
                          </w:rPr>
                          <w:t>1 000 $</w:t>
                        </w:r>
                      </w:p>
                    </w:tc>
                    <w:tc>
                      <w:tcPr>
                        <w:tcW w:w="1380" w:type="dxa"/>
                        <w:tcBorders>
                          <w:bottom w:val="single" w:sz="12" w:space="0" w:color="000000"/>
                        </w:tcBorders>
                      </w:tcPr>
                      <w:p w14:paraId="36183329" w14:textId="77777777" w:rsidR="004A067D" w:rsidRPr="00C724FA" w:rsidRDefault="00E3418B">
                        <w:pPr>
                          <w:pStyle w:val="TableParagraph"/>
                          <w:spacing w:line="240" w:lineRule="auto"/>
                          <w:ind w:left="34"/>
                          <w:rPr>
                            <w:b/>
                            <w:sz w:val="16"/>
                            <w:szCs w:val="16"/>
                          </w:rPr>
                        </w:pPr>
                        <w:r w:rsidRPr="00C724FA">
                          <w:rPr>
                            <w:b/>
                            <w:bCs/>
                            <w:sz w:val="16"/>
                            <w:szCs w:val="16"/>
                            <w:lang w:val="fr-CA"/>
                          </w:rPr>
                          <w:t>Loyer de départ</w:t>
                        </w:r>
                        <w:r w:rsidRPr="00C724FA">
                          <w:rPr>
                            <w:sz w:val="16"/>
                            <w:szCs w:val="16"/>
                            <w:lang w:val="fr-CA"/>
                          </w:rPr>
                          <w:t> :</w:t>
                        </w:r>
                      </w:p>
                      <w:p w14:paraId="596F7CAA" w14:textId="77777777" w:rsidR="004A067D" w:rsidRPr="00C724FA" w:rsidRDefault="00E3418B">
                        <w:pPr>
                          <w:pStyle w:val="TableParagraph"/>
                          <w:spacing w:before="21" w:line="238" w:lineRule="exact"/>
                          <w:ind w:left="34"/>
                          <w:rPr>
                            <w:b/>
                            <w:sz w:val="16"/>
                            <w:szCs w:val="16"/>
                          </w:rPr>
                        </w:pPr>
                        <w:r w:rsidRPr="00C724FA">
                          <w:rPr>
                            <w:b/>
                            <w:bCs/>
                            <w:sz w:val="16"/>
                            <w:szCs w:val="16"/>
                            <w:lang w:val="fr-CA"/>
                          </w:rPr>
                          <w:t>2 000 $</w:t>
                        </w:r>
                      </w:p>
                    </w:tc>
                    <w:tc>
                      <w:tcPr>
                        <w:tcW w:w="1487" w:type="dxa"/>
                        <w:tcBorders>
                          <w:bottom w:val="single" w:sz="12" w:space="0" w:color="000000"/>
                        </w:tcBorders>
                      </w:tcPr>
                      <w:p w14:paraId="250E7E9E" w14:textId="77777777" w:rsidR="004A067D" w:rsidRPr="00C724FA" w:rsidRDefault="00E3418B">
                        <w:pPr>
                          <w:pStyle w:val="TableParagraph"/>
                          <w:spacing w:line="240" w:lineRule="auto"/>
                          <w:ind w:left="34"/>
                          <w:rPr>
                            <w:b/>
                            <w:sz w:val="16"/>
                            <w:szCs w:val="16"/>
                          </w:rPr>
                        </w:pPr>
                        <w:r w:rsidRPr="00C724FA">
                          <w:rPr>
                            <w:b/>
                            <w:bCs/>
                            <w:sz w:val="16"/>
                            <w:szCs w:val="16"/>
                            <w:lang w:val="fr-CA"/>
                          </w:rPr>
                          <w:t>Loyer de départ</w:t>
                        </w:r>
                        <w:r w:rsidRPr="00C724FA">
                          <w:rPr>
                            <w:sz w:val="16"/>
                            <w:szCs w:val="16"/>
                            <w:lang w:val="fr-CA"/>
                          </w:rPr>
                          <w:t> :</w:t>
                        </w:r>
                      </w:p>
                      <w:p w14:paraId="381C4CB7" w14:textId="77777777" w:rsidR="004A067D" w:rsidRPr="00C724FA" w:rsidRDefault="00E3418B">
                        <w:pPr>
                          <w:pStyle w:val="TableParagraph"/>
                          <w:spacing w:before="21" w:line="238" w:lineRule="exact"/>
                          <w:ind w:left="34"/>
                          <w:rPr>
                            <w:b/>
                            <w:sz w:val="16"/>
                            <w:szCs w:val="16"/>
                          </w:rPr>
                        </w:pPr>
                        <w:r w:rsidRPr="00C724FA">
                          <w:rPr>
                            <w:b/>
                            <w:bCs/>
                            <w:sz w:val="16"/>
                            <w:szCs w:val="16"/>
                            <w:lang w:val="fr-CA"/>
                          </w:rPr>
                          <w:t>3 000 $</w:t>
                        </w:r>
                      </w:p>
                    </w:tc>
                  </w:tr>
                  <w:tr w:rsidR="004A067D" w14:paraId="0477E220" w14:textId="77777777" w:rsidTr="00C724FA">
                    <w:trPr>
                      <w:trHeight w:val="271"/>
                    </w:trPr>
                    <w:tc>
                      <w:tcPr>
                        <w:tcW w:w="999" w:type="dxa"/>
                        <w:tcBorders>
                          <w:top w:val="single" w:sz="12" w:space="0" w:color="000000"/>
                        </w:tcBorders>
                        <w:shd w:val="clear" w:color="auto" w:fill="ECECEC"/>
                      </w:tcPr>
                      <w:p w14:paraId="16A95589" w14:textId="77777777" w:rsidR="004A067D" w:rsidRDefault="00E3418B">
                        <w:pPr>
                          <w:pStyle w:val="TableParagraph"/>
                          <w:spacing w:before="21"/>
                          <w:ind w:left="33"/>
                          <w:rPr>
                            <w:sz w:val="21"/>
                          </w:rPr>
                        </w:pPr>
                        <w:r>
                          <w:rPr>
                            <w:sz w:val="21"/>
                            <w:lang w:val="fr-CA"/>
                          </w:rPr>
                          <w:t>3 ans</w:t>
                        </w:r>
                      </w:p>
                    </w:tc>
                    <w:tc>
                      <w:tcPr>
                        <w:tcW w:w="1380" w:type="dxa"/>
                        <w:tcBorders>
                          <w:top w:val="single" w:sz="12" w:space="0" w:color="000000"/>
                        </w:tcBorders>
                        <w:shd w:val="clear" w:color="auto" w:fill="ECECEC"/>
                      </w:tcPr>
                      <w:p w14:paraId="7943345E" w14:textId="77777777" w:rsidR="004A067D" w:rsidRDefault="00E3418B">
                        <w:pPr>
                          <w:pStyle w:val="TableParagraph"/>
                          <w:spacing w:before="21"/>
                          <w:ind w:right="24"/>
                          <w:jc w:val="right"/>
                          <w:rPr>
                            <w:sz w:val="21"/>
                          </w:rPr>
                        </w:pPr>
                        <w:r>
                          <w:rPr>
                            <w:sz w:val="21"/>
                            <w:lang w:val="fr-CA"/>
                          </w:rPr>
                          <w:t>2 277 $</w:t>
                        </w:r>
                      </w:p>
                    </w:tc>
                    <w:tc>
                      <w:tcPr>
                        <w:tcW w:w="1380" w:type="dxa"/>
                        <w:tcBorders>
                          <w:top w:val="single" w:sz="12" w:space="0" w:color="000000"/>
                        </w:tcBorders>
                        <w:shd w:val="clear" w:color="auto" w:fill="ECECEC"/>
                      </w:tcPr>
                      <w:p w14:paraId="223D04EB" w14:textId="77777777" w:rsidR="004A067D" w:rsidRDefault="00E3418B">
                        <w:pPr>
                          <w:pStyle w:val="TableParagraph"/>
                          <w:spacing w:before="21"/>
                          <w:ind w:right="24"/>
                          <w:jc w:val="right"/>
                          <w:rPr>
                            <w:sz w:val="21"/>
                          </w:rPr>
                        </w:pPr>
                        <w:r>
                          <w:rPr>
                            <w:sz w:val="21"/>
                            <w:lang w:val="fr-CA"/>
                          </w:rPr>
                          <w:t>4 554 $</w:t>
                        </w:r>
                      </w:p>
                    </w:tc>
                    <w:tc>
                      <w:tcPr>
                        <w:tcW w:w="1487" w:type="dxa"/>
                        <w:tcBorders>
                          <w:top w:val="single" w:sz="12" w:space="0" w:color="000000"/>
                        </w:tcBorders>
                        <w:shd w:val="clear" w:color="auto" w:fill="ECECEC"/>
                      </w:tcPr>
                      <w:p w14:paraId="19F26E23" w14:textId="77777777" w:rsidR="004A067D" w:rsidRDefault="00E3418B">
                        <w:pPr>
                          <w:pStyle w:val="TableParagraph"/>
                          <w:spacing w:before="21"/>
                          <w:ind w:right="95"/>
                          <w:jc w:val="right"/>
                          <w:rPr>
                            <w:sz w:val="21"/>
                          </w:rPr>
                        </w:pPr>
                        <w:r>
                          <w:rPr>
                            <w:sz w:val="21"/>
                            <w:lang w:val="fr-CA"/>
                          </w:rPr>
                          <w:t>6 831 $</w:t>
                        </w:r>
                      </w:p>
                    </w:tc>
                  </w:tr>
                  <w:tr w:rsidR="004A067D" w14:paraId="68D4BAF2" w14:textId="77777777" w:rsidTr="00C724FA">
                    <w:trPr>
                      <w:trHeight w:val="252"/>
                    </w:trPr>
                    <w:tc>
                      <w:tcPr>
                        <w:tcW w:w="999" w:type="dxa"/>
                      </w:tcPr>
                      <w:p w14:paraId="062A9BF4" w14:textId="77777777" w:rsidR="004A067D" w:rsidRDefault="00E3418B">
                        <w:pPr>
                          <w:pStyle w:val="TableParagraph"/>
                          <w:ind w:left="33"/>
                          <w:rPr>
                            <w:sz w:val="21"/>
                          </w:rPr>
                        </w:pPr>
                        <w:r>
                          <w:rPr>
                            <w:sz w:val="21"/>
                            <w:lang w:val="fr-CA"/>
                          </w:rPr>
                          <w:t>5 ans</w:t>
                        </w:r>
                      </w:p>
                    </w:tc>
                    <w:tc>
                      <w:tcPr>
                        <w:tcW w:w="1380" w:type="dxa"/>
                      </w:tcPr>
                      <w:p w14:paraId="2BAD8734" w14:textId="77777777" w:rsidR="004A067D" w:rsidRDefault="00E3418B">
                        <w:pPr>
                          <w:pStyle w:val="TableParagraph"/>
                          <w:ind w:right="97"/>
                          <w:jc w:val="right"/>
                          <w:rPr>
                            <w:sz w:val="21"/>
                          </w:rPr>
                        </w:pPr>
                        <w:r>
                          <w:rPr>
                            <w:sz w:val="21"/>
                            <w:lang w:val="fr-CA"/>
                          </w:rPr>
                          <w:t>4 702 $</w:t>
                        </w:r>
                      </w:p>
                    </w:tc>
                    <w:tc>
                      <w:tcPr>
                        <w:tcW w:w="1380" w:type="dxa"/>
                      </w:tcPr>
                      <w:p w14:paraId="3B28AC22" w14:textId="77777777" w:rsidR="004A067D" w:rsidRDefault="00E3418B">
                        <w:pPr>
                          <w:pStyle w:val="TableParagraph"/>
                          <w:ind w:right="96"/>
                          <w:jc w:val="right"/>
                          <w:rPr>
                            <w:sz w:val="21"/>
                          </w:rPr>
                        </w:pPr>
                        <w:r>
                          <w:rPr>
                            <w:sz w:val="21"/>
                            <w:lang w:val="fr-CA"/>
                          </w:rPr>
                          <w:t>9 404 $</w:t>
                        </w:r>
                      </w:p>
                    </w:tc>
                    <w:tc>
                      <w:tcPr>
                        <w:tcW w:w="1487" w:type="dxa"/>
                      </w:tcPr>
                      <w:p w14:paraId="226070D1" w14:textId="77777777" w:rsidR="004A067D" w:rsidRDefault="00E3418B">
                        <w:pPr>
                          <w:pStyle w:val="TableParagraph"/>
                          <w:ind w:right="96"/>
                          <w:jc w:val="right"/>
                          <w:rPr>
                            <w:sz w:val="21"/>
                          </w:rPr>
                        </w:pPr>
                        <w:r>
                          <w:rPr>
                            <w:sz w:val="21"/>
                            <w:lang w:val="fr-CA"/>
                          </w:rPr>
                          <w:t>14 105 $</w:t>
                        </w:r>
                      </w:p>
                    </w:tc>
                  </w:tr>
                  <w:tr w:rsidR="004A067D" w14:paraId="0010E071" w14:textId="77777777" w:rsidTr="00C724FA">
                    <w:trPr>
                      <w:trHeight w:val="252"/>
                    </w:trPr>
                    <w:tc>
                      <w:tcPr>
                        <w:tcW w:w="999" w:type="dxa"/>
                        <w:shd w:val="clear" w:color="auto" w:fill="ECECEC"/>
                      </w:tcPr>
                      <w:p w14:paraId="4414B885" w14:textId="77777777" w:rsidR="004A067D" w:rsidRDefault="00E3418B">
                        <w:pPr>
                          <w:pStyle w:val="TableParagraph"/>
                          <w:ind w:left="33"/>
                          <w:rPr>
                            <w:sz w:val="21"/>
                          </w:rPr>
                        </w:pPr>
                        <w:r>
                          <w:rPr>
                            <w:sz w:val="21"/>
                            <w:lang w:val="fr-CA"/>
                          </w:rPr>
                          <w:t>10 ans</w:t>
                        </w:r>
                      </w:p>
                    </w:tc>
                    <w:tc>
                      <w:tcPr>
                        <w:tcW w:w="1380" w:type="dxa"/>
                        <w:shd w:val="clear" w:color="auto" w:fill="ECECEC"/>
                      </w:tcPr>
                      <w:p w14:paraId="69F7A1A7" w14:textId="77777777" w:rsidR="004A067D" w:rsidRDefault="00E3418B">
                        <w:pPr>
                          <w:pStyle w:val="TableParagraph"/>
                          <w:ind w:right="97"/>
                          <w:jc w:val="right"/>
                          <w:rPr>
                            <w:sz w:val="21"/>
                          </w:rPr>
                        </w:pPr>
                        <w:r>
                          <w:rPr>
                            <w:sz w:val="21"/>
                            <w:lang w:val="fr-CA"/>
                          </w:rPr>
                          <w:t>11 314 $</w:t>
                        </w:r>
                      </w:p>
                    </w:tc>
                    <w:tc>
                      <w:tcPr>
                        <w:tcW w:w="1380" w:type="dxa"/>
                        <w:shd w:val="clear" w:color="auto" w:fill="ECECEC"/>
                      </w:tcPr>
                      <w:p w14:paraId="5C016D9D" w14:textId="77777777" w:rsidR="004A067D" w:rsidRDefault="00E3418B">
                        <w:pPr>
                          <w:pStyle w:val="TableParagraph"/>
                          <w:ind w:right="96"/>
                          <w:jc w:val="right"/>
                          <w:rPr>
                            <w:sz w:val="21"/>
                          </w:rPr>
                        </w:pPr>
                        <w:r>
                          <w:rPr>
                            <w:sz w:val="21"/>
                            <w:lang w:val="fr-CA"/>
                          </w:rPr>
                          <w:t>22 629 $</w:t>
                        </w:r>
                      </w:p>
                    </w:tc>
                    <w:tc>
                      <w:tcPr>
                        <w:tcW w:w="1487" w:type="dxa"/>
                        <w:shd w:val="clear" w:color="auto" w:fill="ECECEC"/>
                      </w:tcPr>
                      <w:p w14:paraId="3DD71A18" w14:textId="77777777" w:rsidR="004A067D" w:rsidRDefault="00E3418B">
                        <w:pPr>
                          <w:pStyle w:val="TableParagraph"/>
                          <w:ind w:right="96"/>
                          <w:jc w:val="right"/>
                          <w:rPr>
                            <w:sz w:val="21"/>
                          </w:rPr>
                        </w:pPr>
                        <w:r>
                          <w:rPr>
                            <w:sz w:val="21"/>
                            <w:lang w:val="fr-CA"/>
                          </w:rPr>
                          <w:t>33 943 $</w:t>
                        </w:r>
                      </w:p>
                    </w:tc>
                  </w:tr>
                  <w:tr w:rsidR="004A067D" w14:paraId="55245982" w14:textId="77777777" w:rsidTr="00C724FA">
                    <w:trPr>
                      <w:trHeight w:val="252"/>
                    </w:trPr>
                    <w:tc>
                      <w:tcPr>
                        <w:tcW w:w="999" w:type="dxa"/>
                      </w:tcPr>
                      <w:p w14:paraId="227EFABC" w14:textId="77777777" w:rsidR="004A067D" w:rsidRDefault="00E3418B">
                        <w:pPr>
                          <w:pStyle w:val="TableParagraph"/>
                          <w:spacing w:before="3"/>
                          <w:ind w:left="33"/>
                          <w:rPr>
                            <w:sz w:val="21"/>
                          </w:rPr>
                        </w:pPr>
                        <w:r>
                          <w:rPr>
                            <w:sz w:val="21"/>
                            <w:lang w:val="fr-CA"/>
                          </w:rPr>
                          <w:t>15 ans</w:t>
                        </w:r>
                      </w:p>
                    </w:tc>
                    <w:tc>
                      <w:tcPr>
                        <w:tcW w:w="1380" w:type="dxa"/>
                      </w:tcPr>
                      <w:p w14:paraId="7C65D42A" w14:textId="77777777" w:rsidR="004A067D" w:rsidRDefault="00E3418B">
                        <w:pPr>
                          <w:pStyle w:val="TableParagraph"/>
                          <w:spacing w:before="3"/>
                          <w:ind w:right="97"/>
                          <w:jc w:val="right"/>
                          <w:rPr>
                            <w:sz w:val="21"/>
                          </w:rPr>
                        </w:pPr>
                        <w:r>
                          <w:rPr>
                            <w:sz w:val="21"/>
                            <w:lang w:val="fr-CA"/>
                          </w:rPr>
                          <w:t>18 796 $</w:t>
                        </w:r>
                      </w:p>
                    </w:tc>
                    <w:tc>
                      <w:tcPr>
                        <w:tcW w:w="1380" w:type="dxa"/>
                      </w:tcPr>
                      <w:p w14:paraId="69893CE0" w14:textId="77777777" w:rsidR="004A067D" w:rsidRDefault="00E3418B">
                        <w:pPr>
                          <w:pStyle w:val="TableParagraph"/>
                          <w:spacing w:before="3"/>
                          <w:ind w:right="96"/>
                          <w:jc w:val="right"/>
                          <w:rPr>
                            <w:sz w:val="21"/>
                          </w:rPr>
                        </w:pPr>
                        <w:r>
                          <w:rPr>
                            <w:sz w:val="21"/>
                            <w:lang w:val="fr-CA"/>
                          </w:rPr>
                          <w:t>37 592 $</w:t>
                        </w:r>
                      </w:p>
                    </w:tc>
                    <w:tc>
                      <w:tcPr>
                        <w:tcW w:w="1487" w:type="dxa"/>
                      </w:tcPr>
                      <w:p w14:paraId="50F153B0" w14:textId="77777777" w:rsidR="004A067D" w:rsidRDefault="00E3418B">
                        <w:pPr>
                          <w:pStyle w:val="TableParagraph"/>
                          <w:spacing w:before="3"/>
                          <w:ind w:right="96"/>
                          <w:jc w:val="right"/>
                          <w:rPr>
                            <w:sz w:val="21"/>
                          </w:rPr>
                        </w:pPr>
                        <w:r>
                          <w:rPr>
                            <w:sz w:val="21"/>
                            <w:lang w:val="fr-CA"/>
                          </w:rPr>
                          <w:t>56 388 $</w:t>
                        </w:r>
                      </w:p>
                    </w:tc>
                  </w:tr>
                </w:tbl>
                <w:p w14:paraId="6E8AB082" w14:textId="21863E07" w:rsidR="004A067D" w:rsidRPr="000A65D1" w:rsidRDefault="0028413C">
                  <w:pPr>
                    <w:pStyle w:val="BodyText"/>
                    <w:rPr>
                      <w:sz w:val="22"/>
                      <w:lang w:val="fr-FR"/>
                    </w:rPr>
                  </w:pPr>
                  <w:r>
                    <w:rPr>
                      <w:rFonts w:ascii="Century Gothic" w:hAnsi="Century Gothic"/>
                      <w:sz w:val="11"/>
                      <w:lang w:val="fr-CA"/>
                    </w:rPr>
                    <w:t>*AGI (Augmentation supérieure au taux légal) : 3 % par an pendant 3 ans</w:t>
                  </w:r>
                </w:p>
              </w:txbxContent>
            </v:textbox>
            <w10:wrap type="square" anchorx="page"/>
          </v:shape>
        </w:pict>
      </w:r>
      <w:r w:rsidR="00E3418B" w:rsidRPr="00994000">
        <w:rPr>
          <w:sz w:val="22"/>
          <w:lang w:val="fr-CA"/>
        </w:rPr>
        <w:t>une longue durée, bien au-delà des trois ans pendant lesquels une AGI serait appliquée pour une rénovation.</w:t>
      </w:r>
    </w:p>
    <w:p w14:paraId="1C534406" w14:textId="77777777" w:rsidR="004A067D" w:rsidRPr="00994000" w:rsidRDefault="00E3418B" w:rsidP="00E91FEB">
      <w:pPr>
        <w:spacing w:before="1560"/>
        <w:ind w:left="100" w:right="-356"/>
        <w:rPr>
          <w:i/>
          <w:lang w:val="fr-CA"/>
        </w:rPr>
      </w:pPr>
      <w:r w:rsidRPr="00994000">
        <w:rPr>
          <w:i/>
          <w:iCs/>
          <w:lang w:val="fr-CA"/>
        </w:rPr>
        <w:t>Bénéfices immédiats</w:t>
      </w:r>
    </w:p>
    <w:p w14:paraId="641331D4" w14:textId="77777777" w:rsidR="004A067D" w:rsidRPr="00E57569" w:rsidRDefault="004A067D">
      <w:pPr>
        <w:pStyle w:val="BodyText"/>
        <w:spacing w:before="3"/>
        <w:rPr>
          <w:rFonts w:ascii="Century Gothic"/>
          <w:sz w:val="2"/>
          <w:lang w:val="fr-CA"/>
        </w:rPr>
      </w:pPr>
    </w:p>
    <w:p w14:paraId="79B60205" w14:textId="188CAC16" w:rsidR="004A067D" w:rsidRPr="000A65D1" w:rsidRDefault="00103801" w:rsidP="0028413C">
      <w:pPr>
        <w:pStyle w:val="BodyText"/>
        <w:spacing w:before="1" w:line="273" w:lineRule="auto"/>
        <w:ind w:left="100" w:right="572"/>
        <w:rPr>
          <w:sz w:val="22"/>
          <w:vertAlign w:val="superscript"/>
          <w:lang w:val="fr-FR"/>
        </w:rPr>
      </w:pPr>
      <w:r>
        <w:rPr>
          <w:rFonts w:ascii="Century Gothic"/>
          <w:sz w:val="2"/>
          <w:lang w:val="fr-CA"/>
        </w:rPr>
      </w:r>
      <w:r>
        <w:rPr>
          <w:rFonts w:ascii="Century Gothic"/>
          <w:sz w:val="2"/>
          <w:lang w:val="fr-CA"/>
        </w:rPr>
        <w:pict w14:anchorId="675C7F71">
          <v:group id="_x0000_s2062" style="width:.55pt;height:.1pt;mso-position-horizontal-relative:char;mso-position-vertical-relative:line" coordsize="11,2">
            <v:shape id="_x0000_s2063" style="position:absolute;width:11;height:2" coordsize="11,0" path="m10,l,,10,xe" fillcolor="#dfdfdf" stroked="f">
              <v:path arrowok="t"/>
            </v:shape>
            <w10:anchorlock/>
          </v:group>
        </w:pict>
      </w:r>
      <w:r>
        <w:rPr>
          <w:rFonts w:ascii="Century Gothic"/>
          <w:sz w:val="2"/>
          <w:lang w:val="fr-CA"/>
        </w:rPr>
      </w:r>
      <w:r>
        <w:rPr>
          <w:rFonts w:ascii="Century Gothic"/>
          <w:sz w:val="2"/>
          <w:lang w:val="fr-CA"/>
        </w:rPr>
        <w:pict w14:anchorId="0DFEA8D0">
          <v:group id="_x0000_s2056" style="width:.55pt;height:.1pt;mso-position-horizontal-relative:char;mso-position-vertical-relative:line" coordsize="11,2">
            <v:shape id="_x0000_s2057" style="position:absolute;width:11;height:2" coordsize="11,0" path="m10,l,,10,xe" fillcolor="#dfdfdf" stroked="f">
              <v:path arrowok="t"/>
            </v:shape>
            <w10:anchorlock/>
          </v:group>
        </w:pict>
      </w:r>
      <w:r w:rsidR="00E3418B" w:rsidRPr="00994000">
        <w:rPr>
          <w:sz w:val="22"/>
          <w:lang w:val="fr-CA"/>
        </w:rPr>
        <w:t>La solution à ces questions est évidente et ne coûte rien : l’Ontario doit mettre en œuvre un contrôle complet des loyers en éliminant ces trois exemptions. La recherche confirme que les politiques modernes de contrôle des loyers ne découragent pas la construction de nouveaux logements locatifs, ce qui en fait un moyen simple et direct de protéger les locataires.</w:t>
      </w:r>
      <w:hyperlink w:anchor="_bookmark33" w:history="1">
        <w:r w:rsidR="00E3418B" w:rsidRPr="00994000">
          <w:rPr>
            <w:sz w:val="22"/>
            <w:vertAlign w:val="superscript"/>
            <w:lang w:val="fr-CA"/>
          </w:rPr>
          <w:t>27</w:t>
        </w:r>
      </w:hyperlink>
    </w:p>
    <w:p w14:paraId="64C8DC30" w14:textId="77777777" w:rsidR="004A067D" w:rsidRPr="00994000" w:rsidRDefault="00E3418B" w:rsidP="00C133C8">
      <w:pPr>
        <w:pStyle w:val="BodyText"/>
        <w:spacing w:before="310" w:line="273" w:lineRule="auto"/>
        <w:ind w:left="100" w:right="572"/>
        <w:rPr>
          <w:sz w:val="22"/>
          <w:lang w:val="fr-CA"/>
        </w:rPr>
      </w:pPr>
      <w:r w:rsidRPr="00994000">
        <w:rPr>
          <w:sz w:val="22"/>
          <w:lang w:val="fr-CA"/>
        </w:rPr>
        <w:t>Supprimer la déréglementation des loyers à la remise en location protégerait les 1,7 million de ménages locataires du marché privé en Ontario.</w:t>
      </w:r>
      <w:hyperlink w:anchor="_bookmark34" w:history="1">
        <w:r w:rsidRPr="00994000">
          <w:rPr>
            <w:sz w:val="22"/>
            <w:vertAlign w:val="superscript"/>
            <w:lang w:val="fr-CA"/>
          </w:rPr>
          <w:t>28</w:t>
        </w:r>
      </w:hyperlink>
      <w:r w:rsidRPr="00994000">
        <w:rPr>
          <w:sz w:val="22"/>
          <w:vertAlign w:val="superscript"/>
          <w:lang w:val="fr-CA"/>
        </w:rPr>
        <w:t xml:space="preserve"> </w:t>
      </w:r>
      <w:r w:rsidRPr="00994000">
        <w:rPr>
          <w:sz w:val="22"/>
          <w:lang w:val="fr-CA"/>
        </w:rPr>
        <w:t xml:space="preserve">Les locataires pourraient choisir librement </w:t>
      </w:r>
      <w:r w:rsidRPr="00994000">
        <w:rPr>
          <w:sz w:val="22"/>
          <w:lang w:val="fr-CA"/>
        </w:rPr>
        <w:lastRenderedPageBreak/>
        <w:t>leur lieu de résidence en fonction de l’évolution de leurs besoins, sans être limités par des loyers inaccessibles. Supprimer la déréglementation des loyers à la remise en location</w:t>
      </w:r>
    </w:p>
    <w:p w14:paraId="7E0AAEF7" w14:textId="77777777" w:rsidR="004A067D" w:rsidRPr="00994000" w:rsidRDefault="00E3418B">
      <w:pPr>
        <w:pStyle w:val="BodyText"/>
        <w:spacing w:before="81" w:line="276" w:lineRule="auto"/>
        <w:ind w:left="100" w:right="964"/>
        <w:rPr>
          <w:sz w:val="22"/>
          <w:lang w:val="fr-CA"/>
        </w:rPr>
      </w:pPr>
      <w:r w:rsidRPr="00994000">
        <w:rPr>
          <w:sz w:val="22"/>
          <w:lang w:val="fr-CA"/>
        </w:rPr>
        <w:t>réduirait les expulsions frauduleuses pour « occupation personnelle » et les rénovictions en supprimant l’incitatif financier à évincer les locataires en place.</w:t>
      </w:r>
    </w:p>
    <w:p w14:paraId="149AAC82" w14:textId="77777777" w:rsidR="004A067D" w:rsidRPr="00994000" w:rsidRDefault="00E3418B" w:rsidP="00DE4F65">
      <w:pPr>
        <w:pStyle w:val="BodyText"/>
        <w:spacing w:before="310" w:line="276" w:lineRule="auto"/>
        <w:ind w:left="100" w:right="682"/>
        <w:rPr>
          <w:sz w:val="22"/>
          <w:lang w:val="fr-CA"/>
        </w:rPr>
      </w:pPr>
      <w:r w:rsidRPr="00994000">
        <w:rPr>
          <w:sz w:val="22"/>
          <w:lang w:val="fr-CA"/>
        </w:rPr>
        <w:t>L’abrogation de l’exemption de 2018 permettrait de maintenir le droit des propriétaires de fixer les loyers initiaux des nouveaux immeubles aux taux du marché, tout en empêchant les augmentations illimitées par la suite. L’abolition de l’exemption de 2018 garantirait que les nouvelles constructions locatives améliorent, plutôt qu’elles n’aggravent, la crise de l’abordabilité. Ce changement permettrait probablement aussi de réduire les évictions pour démolition et de protéger les locataires contre le déplacement forcé.</w:t>
      </w:r>
    </w:p>
    <w:p w14:paraId="6E4A965F" w14:textId="77777777" w:rsidR="004A067D" w:rsidRPr="00994000" w:rsidRDefault="00E3418B" w:rsidP="00DE4F65">
      <w:pPr>
        <w:pStyle w:val="BodyText"/>
        <w:spacing w:before="310" w:line="276" w:lineRule="auto"/>
        <w:ind w:left="100" w:right="530"/>
        <w:rPr>
          <w:sz w:val="22"/>
          <w:lang w:val="fr-CA"/>
        </w:rPr>
      </w:pPr>
      <w:r w:rsidRPr="00994000">
        <w:rPr>
          <w:sz w:val="22"/>
          <w:lang w:val="fr-CA"/>
        </w:rPr>
        <w:t>Étant donné que l’obligation légale de maintenir un bon état d’entretien existe déjà, l’élimination des AGI protégerait les locataires en les empêchant d’avoir à choisir entre des hausses de loyer inabordables et le fait d’habiter dans des logements bien entretenus. Dans les cas où les propriétaires souhaitent moderniser leurs immeubles afin de les rendre écologiques, plutôt que de transmettre injustement ces coûts aux locataires, le gouvernement de l’Ontario devrait collaborer avec les autres ordres de gouvernement pour veiller à ce que des prêts à faible coût ou des subventions soient proposés, en échange d’attentes claires et de règlements garantissant l’abordabilité.</w:t>
      </w:r>
    </w:p>
    <w:p w14:paraId="10AAA298" w14:textId="77777777" w:rsidR="004A067D" w:rsidRPr="00994000" w:rsidRDefault="00E3418B" w:rsidP="00DE4F65">
      <w:pPr>
        <w:pStyle w:val="Heading2"/>
        <w:spacing w:before="300"/>
        <w:rPr>
          <w:sz w:val="22"/>
          <w:lang w:val="fr-CA"/>
        </w:rPr>
      </w:pPr>
      <w:r w:rsidRPr="00994000">
        <w:rPr>
          <w:sz w:val="22"/>
          <w:lang w:val="fr-CA"/>
        </w:rPr>
        <w:t>Recommendation</w:t>
      </w:r>
      <w:r w:rsidRPr="00994000">
        <w:rPr>
          <w:b w:val="0"/>
          <w:bCs w:val="0"/>
          <w:sz w:val="22"/>
          <w:lang w:val="fr-CA"/>
        </w:rPr>
        <w:t> </w:t>
      </w:r>
      <w:r w:rsidRPr="00994000">
        <w:rPr>
          <w:sz w:val="22"/>
          <w:lang w:val="fr-CA"/>
        </w:rPr>
        <w:t>:</w:t>
      </w:r>
    </w:p>
    <w:p w14:paraId="7D2C64F3" w14:textId="77777777" w:rsidR="004A067D" w:rsidRPr="00994000" w:rsidRDefault="00E3418B">
      <w:pPr>
        <w:pStyle w:val="BodyText"/>
        <w:spacing w:before="41" w:line="276" w:lineRule="auto"/>
        <w:ind w:left="100" w:right="881"/>
        <w:rPr>
          <w:sz w:val="22"/>
          <w:lang w:val="fr-CA"/>
        </w:rPr>
      </w:pPr>
      <w:r w:rsidRPr="00994000">
        <w:rPr>
          <w:sz w:val="22"/>
          <w:lang w:val="fr-CA"/>
        </w:rPr>
        <w:t>Le gouvernement de l’Ontario doit mettre en œuvre un contrôle complet des loyers. Cela peut se faire rapidement, facilement et à peu de frais en apportant les modifications suivantes à la Loi de 2006 sur la location à usage d’habitation, 2006, L.O. 2006, chap. 17 :</w:t>
      </w:r>
    </w:p>
    <w:p w14:paraId="2B29C646" w14:textId="77777777" w:rsidR="004A067D" w:rsidRPr="00994000" w:rsidRDefault="00E3418B">
      <w:pPr>
        <w:pStyle w:val="ListParagraph"/>
        <w:numPr>
          <w:ilvl w:val="0"/>
          <w:numId w:val="3"/>
        </w:numPr>
        <w:tabs>
          <w:tab w:val="left" w:pos="880"/>
          <w:tab w:val="left" w:pos="881"/>
        </w:tabs>
        <w:spacing w:before="1" w:line="294" w:lineRule="exact"/>
        <w:ind w:left="880" w:hanging="423"/>
        <w:rPr>
          <w:lang w:val="fr-CA"/>
        </w:rPr>
      </w:pPr>
      <w:r w:rsidRPr="00994000">
        <w:rPr>
          <w:lang w:val="fr-CA"/>
        </w:rPr>
        <w:t>Abrogation du paragraphe 113 (Déréglementation des loyers à la remise en location)</w:t>
      </w:r>
    </w:p>
    <w:p w14:paraId="7CA838FA" w14:textId="77777777" w:rsidR="004A067D" w:rsidRPr="00994000" w:rsidRDefault="00E3418B">
      <w:pPr>
        <w:pStyle w:val="ListParagraph"/>
        <w:numPr>
          <w:ilvl w:val="0"/>
          <w:numId w:val="3"/>
        </w:numPr>
        <w:tabs>
          <w:tab w:val="left" w:pos="820"/>
          <w:tab w:val="left" w:pos="821"/>
        </w:tabs>
        <w:spacing w:line="294" w:lineRule="exact"/>
        <w:ind w:hanging="361"/>
        <w:rPr>
          <w:lang w:val="fr-CA"/>
        </w:rPr>
      </w:pPr>
      <w:r w:rsidRPr="00994000">
        <w:rPr>
          <w:lang w:val="fr-CA"/>
        </w:rPr>
        <w:t>Abrogation des paragraphes 6.1 (2), 6.1 (3), 6.1 (4) et 6.1 (7) (exemption de 2018)</w:t>
      </w:r>
    </w:p>
    <w:p w14:paraId="5C9ECEF2" w14:textId="77777777" w:rsidR="004A067D" w:rsidRPr="00994000" w:rsidRDefault="00E3418B">
      <w:pPr>
        <w:pStyle w:val="ListParagraph"/>
        <w:numPr>
          <w:ilvl w:val="0"/>
          <w:numId w:val="3"/>
        </w:numPr>
        <w:tabs>
          <w:tab w:val="left" w:pos="887"/>
          <w:tab w:val="left" w:pos="888"/>
        </w:tabs>
        <w:spacing w:before="20"/>
        <w:ind w:left="887" w:hanging="428"/>
        <w:rPr>
          <w:lang w:val="fr-CA"/>
        </w:rPr>
      </w:pPr>
      <w:r w:rsidRPr="00994000">
        <w:rPr>
          <w:lang w:val="fr-CA"/>
        </w:rPr>
        <w:t>Abrogation des paragraphes 126 et 127 (Augmentations de loyer au-delà du taux légal)</w:t>
      </w:r>
    </w:p>
    <w:p w14:paraId="16FE85B6" w14:textId="77777777" w:rsidR="004A067D" w:rsidRPr="00994000" w:rsidRDefault="00E3418B" w:rsidP="00D92C27">
      <w:pPr>
        <w:pStyle w:val="Heading2"/>
        <w:spacing w:before="500"/>
        <w:ind w:left="820" w:right="682" w:hanging="360"/>
        <w:jc w:val="both"/>
        <w:rPr>
          <w:sz w:val="22"/>
          <w:lang w:val="fr-CA"/>
        </w:rPr>
      </w:pPr>
      <w:r w:rsidRPr="00994000">
        <w:rPr>
          <w:sz w:val="22"/>
          <w:lang w:val="fr-CA"/>
        </w:rPr>
        <w:t>4. Définir des objectifs clairs et mesurables et investir les ressources nécessaires pour mettre fin à l’itinérance chronique</w:t>
      </w:r>
    </w:p>
    <w:p w14:paraId="19A92F41" w14:textId="77777777" w:rsidR="004A067D" w:rsidRPr="00994000" w:rsidRDefault="00E3418B" w:rsidP="00DE4F65">
      <w:pPr>
        <w:pStyle w:val="BodyText"/>
        <w:spacing w:before="310" w:line="276" w:lineRule="auto"/>
        <w:ind w:left="100" w:right="516"/>
        <w:jc w:val="both"/>
        <w:rPr>
          <w:sz w:val="22"/>
          <w:vertAlign w:val="superscript"/>
          <w:lang w:val="fr-CA"/>
        </w:rPr>
      </w:pPr>
      <w:r w:rsidRPr="00994000">
        <w:rPr>
          <w:sz w:val="22"/>
          <w:lang w:val="fr-CA"/>
        </w:rPr>
        <w:t xml:space="preserve">L’une des conséquences de notre crise du logement prolongée est qu’un nombre toujours croissant d’Ontariennes et d’Ontariens se retrouvent en situation d’itinérance. Près de 85 000 Ontariens et Ontariennes ont été confrontés à l’itinérance en 2025, soit une augmentation de 49 % entre 2021 et 2025. Sans intervention, ce chiffre pourrait plus que tripler d’ici 2035, laissant jusqu’à 294 000 personnes sans logement stable. </w:t>
      </w:r>
      <w:hyperlink w:anchor="_bookmark35" w:history="1">
        <w:r w:rsidRPr="00994000">
          <w:rPr>
            <w:sz w:val="22"/>
            <w:vertAlign w:val="superscript"/>
            <w:lang w:val="fr-CA"/>
          </w:rPr>
          <w:t>29</w:t>
        </w:r>
      </w:hyperlink>
    </w:p>
    <w:p w14:paraId="31D8294E" w14:textId="4A81B0C9" w:rsidR="004A067D" w:rsidRPr="00994000" w:rsidRDefault="00E3418B" w:rsidP="00DE4F65">
      <w:pPr>
        <w:pStyle w:val="BodyText"/>
        <w:spacing w:before="310" w:line="276" w:lineRule="auto"/>
        <w:ind w:left="100" w:right="516"/>
        <w:jc w:val="both"/>
        <w:rPr>
          <w:sz w:val="22"/>
          <w:lang w:val="fr-CA"/>
        </w:rPr>
      </w:pPr>
      <w:r w:rsidRPr="00994000">
        <w:rPr>
          <w:sz w:val="22"/>
          <w:lang w:val="fr-CA"/>
        </w:rPr>
        <w:t>Le simple fait d’avoir un emploi ne suffit pas à prévenir l’itinérance ou la pauvreté. Le travail doit être associé à un logement stable et à des services adaptés pour permettre aux personnes de conserver un emploi à long terme. Nous recommandons que la province fixe des objectifs clairs et mesurables pour réduire et, à terme, éradiquer l’itinérance en Ontario. Les données montrent que les personnes réussissent mieux à avancer</w:t>
      </w:r>
      <w:r w:rsidR="00963DF9" w:rsidRPr="00994000">
        <w:rPr>
          <w:sz w:val="22"/>
          <w:lang w:val="fr-CA"/>
        </w:rPr>
        <w:t xml:space="preserve"> </w:t>
      </w:r>
      <w:r w:rsidRPr="00994000">
        <w:rPr>
          <w:sz w:val="22"/>
          <w:lang w:val="fr-CA"/>
        </w:rPr>
        <w:t xml:space="preserve">dans leur vie lorsqu’elles bénéficient d’un logement en premier lieu. Cela est vrai autant pour les personnes en situation d’itinérance ou </w:t>
      </w:r>
      <w:r w:rsidRPr="00994000">
        <w:rPr>
          <w:sz w:val="22"/>
          <w:lang w:val="fr-CA"/>
        </w:rPr>
        <w:lastRenderedPageBreak/>
        <w:t>confrontées à des problèmes de santé mentale et de dépendance que pour n’importe qui. Plutôt que de se concentrer principalement sur les réponses d’urgence, le gouvernement doit orienter son énergie et ses ressources vers des solutions pérennes. S’engager à mettre fin à l’itinérance chronique nécessite des objectifs réalistes à court, moyen et long terme ainsi que les ressources nécessaires à leur mise en œuvre.</w:t>
      </w:r>
    </w:p>
    <w:p w14:paraId="6509FEF4" w14:textId="77777777" w:rsidR="004A067D" w:rsidRPr="00994000" w:rsidRDefault="00E3418B" w:rsidP="00085B45">
      <w:pPr>
        <w:pStyle w:val="BodyText"/>
        <w:spacing w:before="310" w:line="276" w:lineRule="auto"/>
        <w:ind w:left="100" w:right="514"/>
        <w:jc w:val="both"/>
        <w:rPr>
          <w:sz w:val="22"/>
          <w:lang w:val="fr-CA"/>
        </w:rPr>
      </w:pPr>
      <w:r w:rsidRPr="00994000">
        <w:rPr>
          <w:sz w:val="22"/>
          <w:lang w:val="fr-CA"/>
        </w:rPr>
        <w:t>Pour mettre fin à l’itinérance chronique, la province devra allouer des ressources afin de développer ses capacités et appliquer des politiques visant à accroître le nombre de logements abordables, voire très abordables, en Ontario. En 2025, l’Association des municipalités de l’Ontario a publié un rapport recommandant d’investir 11 milliards de dollars sur dix ans pour éradiquer l’itinérance chronique.</w:t>
      </w:r>
      <w:hyperlink w:anchor="_bookmark36" w:history="1">
        <w:r w:rsidRPr="00994000">
          <w:rPr>
            <w:sz w:val="22"/>
            <w:vertAlign w:val="superscript"/>
            <w:lang w:val="fr-CA"/>
          </w:rPr>
          <w:t>30</w:t>
        </w:r>
      </w:hyperlink>
      <w:r w:rsidRPr="00994000">
        <w:rPr>
          <w:sz w:val="22"/>
          <w:vertAlign w:val="superscript"/>
          <w:lang w:val="fr-CA"/>
        </w:rPr>
        <w:t xml:space="preserve"> </w:t>
      </w:r>
      <w:r w:rsidRPr="00994000">
        <w:rPr>
          <w:sz w:val="22"/>
          <w:lang w:val="fr-CA"/>
        </w:rPr>
        <w:t>Ces investissements permettraient de financer le développement de nouvelles infrastructures de logement, y compris des logements subventionnés, des logements avec services de soutien et des logements temporaires, ainsi que des mesures de prévention des expulsions grâce à des interventions précoces et à l’aide au loyer.</w:t>
      </w:r>
    </w:p>
    <w:p w14:paraId="5C9975BB" w14:textId="51E36A0B" w:rsidR="004A067D" w:rsidRPr="00994000" w:rsidRDefault="00E3418B" w:rsidP="00085B45">
      <w:pPr>
        <w:pStyle w:val="BodyText"/>
        <w:spacing w:before="310" w:line="276" w:lineRule="auto"/>
        <w:ind w:left="100" w:right="517"/>
        <w:jc w:val="both"/>
        <w:rPr>
          <w:sz w:val="22"/>
          <w:lang w:val="fr-CA"/>
        </w:rPr>
      </w:pPr>
      <w:r w:rsidRPr="00994000">
        <w:rPr>
          <w:sz w:val="22"/>
          <w:lang w:val="fr-CA"/>
        </w:rPr>
        <w:t>Les logements avec services de soutien sont essentiels pour réduire l’itinérance chronique, en permettant aux personnes de stabiliser leur situation tout en bénéficiant de l’accompagnement dont elles ont besoin. On estime que l’Ontario accuse un manque de 60 000 à 100 000 logements de soutien. Par conséquent, 27 000 Ontariens et Ontariennes inscrits sur des listes d’attente pour un logement avec services de soutien doivent patienter jusqu’à 7 ans.</w:t>
      </w:r>
      <w:hyperlink w:anchor="_bookmark37" w:history="1">
        <w:r w:rsidRPr="00994000">
          <w:rPr>
            <w:sz w:val="22"/>
            <w:vertAlign w:val="superscript"/>
            <w:lang w:val="fr-CA"/>
          </w:rPr>
          <w:t>31</w:t>
        </w:r>
      </w:hyperlink>
      <w:r w:rsidRPr="00994000">
        <w:rPr>
          <w:sz w:val="22"/>
          <w:vertAlign w:val="superscript"/>
          <w:lang w:val="fr-CA"/>
        </w:rPr>
        <w:t xml:space="preserve"> </w:t>
      </w:r>
      <w:r w:rsidRPr="00994000">
        <w:rPr>
          <w:sz w:val="22"/>
          <w:lang w:val="fr-CA"/>
        </w:rPr>
        <w:t>Les investissements dans les logements avec services de soutien se sont révélés être une utilisation efficace des fonds publics. Pour chaque tranche de 10 $ investie dans le logement et les services de soutien destinés aux personnes en situation d’itinérance chronique,</w:t>
      </w:r>
      <w:r w:rsidR="00034D1C" w:rsidRPr="00994000">
        <w:rPr>
          <w:sz w:val="22"/>
          <w:lang w:val="fr-CA"/>
        </w:rPr>
        <w:t xml:space="preserve"> </w:t>
      </w:r>
      <w:r w:rsidRPr="00994000">
        <w:rPr>
          <w:sz w:val="22"/>
          <w:lang w:val="fr-CA"/>
        </w:rPr>
        <w:t>21,72 $ sont économisés en coûts liés aux soins de santé, au système judiciaire, aux refuges et à d’autres services sociaux.</w:t>
      </w:r>
      <w:hyperlink w:anchor="_bookmark38" w:history="1">
        <w:r w:rsidRPr="00994000">
          <w:rPr>
            <w:sz w:val="22"/>
            <w:vertAlign w:val="superscript"/>
            <w:lang w:val="fr-CA"/>
          </w:rPr>
          <w:t>32</w:t>
        </w:r>
      </w:hyperlink>
      <w:r w:rsidRPr="00994000">
        <w:rPr>
          <w:sz w:val="22"/>
          <w:vertAlign w:val="superscript"/>
          <w:lang w:val="fr-CA"/>
        </w:rPr>
        <w:t xml:space="preserve"> </w:t>
      </w:r>
      <w:r w:rsidRPr="00994000">
        <w:rPr>
          <w:sz w:val="22"/>
          <w:lang w:val="fr-CA"/>
        </w:rPr>
        <w:t>Nous recommandons que le gouvernement de l’Ontario désigne au moins 40 000 logements du nouveau parc de logements communautaires comme logements avec services de soutien. Nous soutenons l’appel de Addictions and Mental Health Ontario (AMHO) visant à financer la création d’au moins 1 000 nouvelles unités de logements avec services de soutien en santé mentale et en dépendance en 2026-2027, dans le cadre d’un engagement visant à mettre l’Ontario sur la voie de l’ouverture de 36 000 nouvelles unités d’ici 2035.</w:t>
      </w:r>
      <w:hyperlink w:anchor="_bookmark39" w:history="1">
        <w:r w:rsidRPr="00994000">
          <w:rPr>
            <w:sz w:val="22"/>
            <w:vertAlign w:val="superscript"/>
            <w:lang w:val="fr-CA"/>
          </w:rPr>
          <w:t>33</w:t>
        </w:r>
      </w:hyperlink>
    </w:p>
    <w:p w14:paraId="58BE5247" w14:textId="77777777" w:rsidR="004A067D" w:rsidRPr="00994000" w:rsidRDefault="00E3418B" w:rsidP="00085B45">
      <w:pPr>
        <w:pStyle w:val="BodyText"/>
        <w:spacing w:before="310" w:line="276" w:lineRule="auto"/>
        <w:ind w:left="100" w:right="514"/>
        <w:jc w:val="both"/>
        <w:rPr>
          <w:sz w:val="22"/>
          <w:lang w:val="fr-CA"/>
        </w:rPr>
      </w:pPr>
      <w:r w:rsidRPr="00994000">
        <w:rPr>
          <w:sz w:val="22"/>
          <w:lang w:val="fr-CA"/>
        </w:rPr>
        <w:t>De plus, nous recommandons que le gouvernement améliore la coordination interministérielle des politiques et du financement au sein du gouvernement de l’Ontario et entre les trois ordres de gouvernement. La province doit centraliser les ressources, les décideurs et le personnel, et rationaliser les efforts en vue de mettre fin à l’itinérance chronique.</w:t>
      </w:r>
    </w:p>
    <w:p w14:paraId="4D36C365" w14:textId="77777777" w:rsidR="004A067D" w:rsidRPr="00994000" w:rsidRDefault="00E3418B" w:rsidP="00085B45">
      <w:pPr>
        <w:spacing w:before="310"/>
        <w:ind w:left="100"/>
        <w:jc w:val="both"/>
        <w:rPr>
          <w:i/>
          <w:lang w:val="fr-CA"/>
        </w:rPr>
      </w:pPr>
      <w:r w:rsidRPr="00994000">
        <w:rPr>
          <w:i/>
          <w:iCs/>
          <w:lang w:val="fr-CA"/>
        </w:rPr>
        <w:t>Inscrire dans la loi une approche fondée sur les droits en matière de campements de fortune</w:t>
      </w:r>
    </w:p>
    <w:p w14:paraId="48F2CEF6" w14:textId="77777777" w:rsidR="004A067D" w:rsidRPr="000A65D1" w:rsidRDefault="00E3418B">
      <w:pPr>
        <w:pStyle w:val="BodyText"/>
        <w:spacing w:line="276" w:lineRule="auto"/>
        <w:ind w:left="100" w:right="517"/>
        <w:jc w:val="both"/>
        <w:rPr>
          <w:sz w:val="22"/>
          <w:vertAlign w:val="superscript"/>
          <w:lang w:val="fr-FR"/>
        </w:rPr>
      </w:pPr>
      <w:r w:rsidRPr="00994000">
        <w:rPr>
          <w:sz w:val="22"/>
          <w:lang w:val="fr-CA"/>
        </w:rPr>
        <w:t>En l’absence de mécanismes suffisants pour prévenir l’itinérance et faute d’options de logement adéquates, les personnes et les ménages sont contraints de se tourner vers des campements de fortune. Cela signifie que les Ontariennes et Ontariens qui vivent dans des campements de fortune doivent être traités avec dignité et ne pas être criminalisés ni faire l’objet de discrimination. En 2023, on comptait au minimum 1 400 campements de fortune dans l’ensemble de la province, chacun regroupant de 1 à plus de 100 personnes.</w:t>
      </w:r>
      <w:hyperlink w:anchor="_bookmark40" w:history="1">
        <w:r w:rsidRPr="00994000">
          <w:rPr>
            <w:sz w:val="22"/>
            <w:vertAlign w:val="superscript"/>
            <w:lang w:val="fr-CA"/>
          </w:rPr>
          <w:t>34</w:t>
        </w:r>
      </w:hyperlink>
    </w:p>
    <w:p w14:paraId="1658CF54" w14:textId="77777777" w:rsidR="004A067D" w:rsidRPr="00994000" w:rsidRDefault="00E3418B" w:rsidP="00085B45">
      <w:pPr>
        <w:pStyle w:val="BodyText"/>
        <w:spacing w:before="310" w:line="276" w:lineRule="auto"/>
        <w:ind w:right="513"/>
        <w:jc w:val="both"/>
        <w:rPr>
          <w:sz w:val="22"/>
          <w:vertAlign w:val="superscript"/>
          <w:lang w:val="fr-CA"/>
        </w:rPr>
      </w:pPr>
      <w:r w:rsidRPr="00994000">
        <w:rPr>
          <w:sz w:val="22"/>
          <w:lang w:val="fr-CA"/>
        </w:rPr>
        <w:lastRenderedPageBreak/>
        <w:t>Toute décision que prennent les municipalités concernant les campements de fortune doit tenir compte des points de vue des personnes qui y vivent, lesquelles doivent faire partie de ces processus décisionnels et se voir offrir une aide juridique ainsi que tout autre soutien supplémentaire nécessaire. Les personnes vivant dans des campements de fortune devraient voir tous leurs besoins essentiels comblés (p. ex., eau potable sécuritaire, services d’assainissement/gestion des déchets, services sociaux et de santé, sécurité personnelle, sécurité incendie et alimentaire, réduction des méfaits et prévention/gestion des nuisibles). De plus, les gouvernements ont l’obligation de respecter l’autodétermination des résidents autochtones des campements de fortune et des consultations doivent avoir lieu afin d’assurer l’obtention de leur consentement avant que toute mesure susceptible d’avoir une incidence sur ces résidents ne soit prise. Pour prévenir les violations des droits de la personne, il est interdit de déplacer les résidents des campements de fortune sans véritable consultation, sans soutien juridique et sans options de logement adéquates. Dans les cas où toutes les solutions alternatives sont épuisées et où un relogement s’avère nécessaire, les résidents doivent se voir proposer des solutions de logement adéquates et pérennes.</w:t>
      </w:r>
      <w:r w:rsidRPr="00994000">
        <w:rPr>
          <w:sz w:val="22"/>
          <w:vertAlign w:val="superscript"/>
          <w:lang w:val="fr-CA"/>
        </w:rPr>
        <w:t>37 38</w:t>
      </w:r>
    </w:p>
    <w:p w14:paraId="425B6738" w14:textId="77777777" w:rsidR="004A067D" w:rsidRPr="00994000" w:rsidRDefault="00E3418B" w:rsidP="00F279EC">
      <w:pPr>
        <w:pStyle w:val="Heading2"/>
        <w:spacing w:before="310"/>
        <w:rPr>
          <w:sz w:val="22"/>
        </w:rPr>
      </w:pPr>
      <w:r w:rsidRPr="00994000">
        <w:rPr>
          <w:sz w:val="22"/>
          <w:lang w:val="fr-CA"/>
        </w:rPr>
        <w:t>Recommandations</w:t>
      </w:r>
      <w:r w:rsidRPr="00994000">
        <w:rPr>
          <w:b w:val="0"/>
          <w:bCs w:val="0"/>
          <w:sz w:val="22"/>
          <w:lang w:val="fr-CA"/>
        </w:rPr>
        <w:t> </w:t>
      </w:r>
      <w:r w:rsidRPr="00994000">
        <w:rPr>
          <w:sz w:val="22"/>
          <w:lang w:val="fr-CA"/>
        </w:rPr>
        <w:t>:</w:t>
      </w:r>
    </w:p>
    <w:p w14:paraId="4793B89E" w14:textId="77777777" w:rsidR="004A067D" w:rsidRPr="00994000" w:rsidRDefault="00E3418B">
      <w:pPr>
        <w:pStyle w:val="ListParagraph"/>
        <w:numPr>
          <w:ilvl w:val="0"/>
          <w:numId w:val="3"/>
        </w:numPr>
        <w:tabs>
          <w:tab w:val="left" w:pos="821"/>
        </w:tabs>
        <w:spacing w:before="184" w:line="254" w:lineRule="auto"/>
        <w:ind w:right="512"/>
        <w:jc w:val="both"/>
        <w:rPr>
          <w:lang w:val="fr-CA"/>
        </w:rPr>
      </w:pPr>
      <w:r w:rsidRPr="00994000">
        <w:rPr>
          <w:lang w:val="fr-CA"/>
        </w:rPr>
        <w:t>Effectuer des investissements importants et à long terme afin de créer plus de 75 000 nouveaux logements abordables</w:t>
      </w:r>
      <w:hyperlink w:anchor="_bookmark41" w:history="1">
        <w:r w:rsidRPr="00994000">
          <w:rPr>
            <w:vertAlign w:val="superscript"/>
            <w:lang w:val="fr-CA"/>
          </w:rPr>
          <w:t>35</w:t>
        </w:r>
      </w:hyperlink>
      <w:r w:rsidRPr="00994000">
        <w:rPr>
          <w:vertAlign w:val="superscript"/>
          <w:lang w:val="fr-CA"/>
        </w:rPr>
        <w:t xml:space="preserve"> </w:t>
      </w:r>
      <w:r w:rsidRPr="00994000">
        <w:rPr>
          <w:lang w:val="fr-CA"/>
        </w:rPr>
        <w:t>pour mettre fin à l’itinérance chronique et offrir des solutions de logement viables en alternative aux campements de fortune.</w:t>
      </w:r>
    </w:p>
    <w:p w14:paraId="091E671C" w14:textId="77777777" w:rsidR="004A067D" w:rsidRPr="00994000" w:rsidRDefault="00E3418B">
      <w:pPr>
        <w:pStyle w:val="ListParagraph"/>
        <w:numPr>
          <w:ilvl w:val="0"/>
          <w:numId w:val="3"/>
        </w:numPr>
        <w:tabs>
          <w:tab w:val="left" w:pos="821"/>
        </w:tabs>
        <w:spacing w:before="7"/>
        <w:ind w:hanging="361"/>
        <w:jc w:val="both"/>
        <w:rPr>
          <w:lang w:val="fr-CA"/>
        </w:rPr>
      </w:pPr>
      <w:r w:rsidRPr="00994000">
        <w:rPr>
          <w:lang w:val="fr-CA"/>
        </w:rPr>
        <w:t>Élaborer des objectifs et des cibles clairs et mesurables pour mettre fin à l’itinérance chronique</w:t>
      </w:r>
    </w:p>
    <w:p w14:paraId="6E664B40" w14:textId="77777777" w:rsidR="004A067D" w:rsidRPr="00994000" w:rsidRDefault="00E3418B">
      <w:pPr>
        <w:pStyle w:val="ListParagraph"/>
        <w:numPr>
          <w:ilvl w:val="0"/>
          <w:numId w:val="3"/>
        </w:numPr>
        <w:tabs>
          <w:tab w:val="left" w:pos="821"/>
        </w:tabs>
        <w:spacing w:before="21"/>
        <w:ind w:hanging="361"/>
        <w:jc w:val="both"/>
        <w:rPr>
          <w:lang w:val="fr-CA"/>
        </w:rPr>
      </w:pPr>
      <w:r w:rsidRPr="00994000">
        <w:rPr>
          <w:lang w:val="fr-CA"/>
        </w:rPr>
        <w:t>Élaborer un protocole provincial sur les campements de fortune afin de garantir le respect des droits de la personne</w:t>
      </w:r>
    </w:p>
    <w:p w14:paraId="408FAFFC" w14:textId="77777777" w:rsidR="004A067D" w:rsidRPr="00994000" w:rsidRDefault="00E3418B" w:rsidP="00F279EC">
      <w:pPr>
        <w:pStyle w:val="Heading2"/>
        <w:numPr>
          <w:ilvl w:val="0"/>
          <w:numId w:val="2"/>
        </w:numPr>
        <w:tabs>
          <w:tab w:val="left" w:pos="821"/>
        </w:tabs>
        <w:spacing w:before="440"/>
        <w:ind w:right="482" w:hanging="361"/>
        <w:jc w:val="both"/>
        <w:rPr>
          <w:sz w:val="22"/>
          <w:lang w:val="fr-CA"/>
        </w:rPr>
      </w:pPr>
      <w:bookmarkStart w:id="0" w:name="_bookmark0"/>
      <w:bookmarkEnd w:id="0"/>
      <w:r w:rsidRPr="00994000">
        <w:rPr>
          <w:sz w:val="22"/>
          <w:lang w:val="fr-CA"/>
        </w:rPr>
        <w:t>Répondre aux besoins des victimes-survivantes de la violence fondée sur le genre (VFG)</w:t>
      </w:r>
    </w:p>
    <w:p w14:paraId="55FE1591" w14:textId="41D19285" w:rsidR="004A067D" w:rsidRPr="00994000" w:rsidRDefault="00E3418B" w:rsidP="00F279EC">
      <w:pPr>
        <w:pStyle w:val="BodyText"/>
        <w:spacing w:before="310" w:line="273" w:lineRule="auto"/>
        <w:ind w:left="100" w:right="1235"/>
        <w:jc w:val="both"/>
        <w:rPr>
          <w:sz w:val="22"/>
          <w:lang w:val="fr-CA"/>
        </w:rPr>
      </w:pPr>
      <w:r w:rsidRPr="00994000">
        <w:rPr>
          <w:sz w:val="22"/>
          <w:lang w:val="fr-CA"/>
        </w:rPr>
        <w:t>Nous ne pouvons pas nous permettre de retarder davantage la reconnaissance de la violence entre partenaires intimes (VPI) comme une épidémie à l’échelle de l’Ontario</w:t>
      </w:r>
      <w:r w:rsidR="00B54CA4" w:rsidRPr="00994000">
        <w:rPr>
          <w:rStyle w:val="FootnoteReference"/>
          <w:sz w:val="22"/>
          <w:lang w:val="fr-CA"/>
        </w:rPr>
        <w:footnoteReference w:id="1"/>
      </w:r>
      <w:r w:rsidRPr="00994000">
        <w:rPr>
          <w:sz w:val="22"/>
          <w:lang w:val="fr-CA"/>
        </w:rPr>
        <w:t>.</w:t>
      </w:r>
      <w:r w:rsidR="001E50D9" w:rsidRPr="00994000">
        <w:rPr>
          <w:sz w:val="22"/>
          <w:lang w:val="fr-CA"/>
        </w:rPr>
        <w:t xml:space="preserve"> </w:t>
      </w:r>
      <w:r w:rsidRPr="00994000">
        <w:rPr>
          <w:sz w:val="22"/>
          <w:lang w:val="fr-CA"/>
        </w:rPr>
        <w:t>Depuis des décennies, les organismes de défense des droits réclament cette première mesure essentielle en vue d’éliminer la violence fondée sur le genre (VFG).</w:t>
      </w:r>
    </w:p>
    <w:p w14:paraId="5F3488C7" w14:textId="630B56D1" w:rsidR="004A067D" w:rsidRDefault="00E3418B" w:rsidP="00F279EC">
      <w:pPr>
        <w:pStyle w:val="BodyText"/>
        <w:spacing w:before="310" w:line="276" w:lineRule="auto"/>
        <w:ind w:left="100" w:right="530"/>
        <w:rPr>
          <w:sz w:val="22"/>
          <w:lang w:val="fr-CA"/>
        </w:rPr>
      </w:pPr>
      <w:r w:rsidRPr="00994000">
        <w:rPr>
          <w:sz w:val="22"/>
          <w:lang w:val="fr-CA"/>
        </w:rPr>
        <w:t>Le projet de loi 55 (anciennement projet de loi 173) doit être réintroduit et adopté immédiatement. Une telle mesure exprimerait clairement, de la part du gouvernement, que le droit au logement des survivantes et survivants doit être protégé et renforcé. Cela offrirait un soutien supplémentaire aux survivantes et survivants à faible revenu qui sont confrontés aux défis cumulés de la crise de l’abordabilité du logement.</w:t>
      </w:r>
    </w:p>
    <w:p w14:paraId="450E6EB6" w14:textId="77777777" w:rsidR="00F279EC" w:rsidRPr="00994000" w:rsidRDefault="00F279EC" w:rsidP="00F279EC">
      <w:pPr>
        <w:pStyle w:val="BodyText"/>
        <w:spacing w:before="310" w:line="276" w:lineRule="auto"/>
        <w:ind w:left="100" w:right="530"/>
        <w:rPr>
          <w:sz w:val="22"/>
          <w:lang w:val="fr-CA"/>
        </w:rPr>
      </w:pPr>
    </w:p>
    <w:p w14:paraId="56682F35" w14:textId="1F3DA9FD" w:rsidR="004A067D" w:rsidRPr="00994000" w:rsidRDefault="00E3418B" w:rsidP="00F279EC">
      <w:pPr>
        <w:pStyle w:val="BodyText"/>
        <w:spacing w:before="310" w:line="276" w:lineRule="auto"/>
        <w:ind w:left="100" w:right="869"/>
        <w:jc w:val="both"/>
        <w:rPr>
          <w:sz w:val="22"/>
          <w:lang w:val="fr-CA"/>
        </w:rPr>
      </w:pPr>
      <w:r w:rsidRPr="00994000">
        <w:rPr>
          <w:sz w:val="22"/>
          <w:lang w:val="fr-CA"/>
        </w:rPr>
        <w:lastRenderedPageBreak/>
        <w:t>Au mois de novembre, le gouvernement a franchi une étape importante en qualifiant la VPI d’endémique et en reconnaissant sa prévalence et son caractère omniprésent. Cependant, cette approche ne permet pas de reconnaître pleinement le caractère critique et croissant de la violence dans toute la</w:t>
      </w:r>
      <w:bookmarkStart w:id="1" w:name="_bookmark1"/>
      <w:bookmarkEnd w:id="1"/>
      <w:r w:rsidR="00FD5E6E" w:rsidRPr="00994000">
        <w:rPr>
          <w:sz w:val="22"/>
          <w:lang w:val="fr-CA"/>
        </w:rPr>
        <w:t xml:space="preserve"> </w:t>
      </w:r>
      <w:r w:rsidRPr="00994000">
        <w:rPr>
          <w:sz w:val="22"/>
          <w:lang w:val="fr-CA"/>
        </w:rPr>
        <w:t>province, ni le besoin de réponses ciblées qu’une déclaration d’épidémie permettrait de mettre en œuvre.</w:t>
      </w:r>
    </w:p>
    <w:p w14:paraId="5EC987A7" w14:textId="77777777" w:rsidR="004A067D" w:rsidRPr="00994000" w:rsidRDefault="00E3418B" w:rsidP="0086579E">
      <w:pPr>
        <w:pStyle w:val="BodyText"/>
        <w:spacing w:before="310" w:line="276" w:lineRule="auto"/>
        <w:ind w:left="100" w:right="548"/>
        <w:rPr>
          <w:sz w:val="22"/>
          <w:lang w:val="fr-CA"/>
        </w:rPr>
      </w:pPr>
      <w:r w:rsidRPr="00994000">
        <w:rPr>
          <w:sz w:val="22"/>
          <w:lang w:val="fr-CA"/>
        </w:rPr>
        <w:t>Une fois consacrée dans la loi, la reconnaissance de la VFG comme une épidémie pourrait renforcer l’accès à la justice pour les survivantes et survivants, prévenir la victimisation secondaire au sein du système de justice et améliorer la stabilité résidentielle. Plus précisément, les professionnelles et les professionnels du droit pourraient intégrer le caractère épidémique de la VFG à leurs efforts de prévention des expulsions et de défense des droits, afin que les locataires victimes de VPI ne soient pas tenus responsables des actes de l’auteur et expulsés dans un contexte de crise du logement. À l’instar des principes de Gladue, qui exigent que les tribunaux criminels tiennent compte de la surreprésentation des Autochtones dans le système de justice pénale, les arbitres seraient tenus de considérer la réalité en matière de logement des survivantes et des survivants et de réduire le nombre de ceux-ci qui sont surreprésentés au sein de la population en situation d’itinérance.</w:t>
      </w:r>
    </w:p>
    <w:p w14:paraId="05E8E1D1" w14:textId="77777777" w:rsidR="004A067D" w:rsidRPr="00994000" w:rsidRDefault="00E3418B" w:rsidP="0086579E">
      <w:pPr>
        <w:pStyle w:val="BodyText"/>
        <w:spacing w:before="310" w:line="278" w:lineRule="auto"/>
        <w:ind w:left="100" w:right="1333"/>
        <w:rPr>
          <w:sz w:val="22"/>
          <w:lang w:val="fr-CA"/>
        </w:rPr>
      </w:pPr>
      <w:r w:rsidRPr="00994000">
        <w:rPr>
          <w:sz w:val="22"/>
          <w:lang w:val="fr-CA"/>
        </w:rPr>
        <w:t>Par la suite, pour avoir un réel impact pour les victimes-survivantes de VFG, la province doit réinvestir de façon significative des fonds publics dans le logement.</w:t>
      </w:r>
    </w:p>
    <w:p w14:paraId="718ED4F4" w14:textId="2CB70075" w:rsidR="004A067D" w:rsidRPr="00994000" w:rsidRDefault="00E3418B" w:rsidP="0086579E">
      <w:pPr>
        <w:pStyle w:val="BodyText"/>
        <w:spacing w:before="310" w:line="276" w:lineRule="auto"/>
        <w:ind w:left="100" w:right="561"/>
        <w:rPr>
          <w:sz w:val="22"/>
          <w:lang w:val="fr-CA"/>
        </w:rPr>
      </w:pPr>
      <w:r w:rsidRPr="00994000">
        <w:rPr>
          <w:sz w:val="22"/>
          <w:lang w:val="fr-CA"/>
        </w:rPr>
        <w:t>Premièrement, un réinvestissement public est nécessaire pour élargir l’accès au logement social, ce qui accroîtra également la sécurité des personnes qui tentent de sortir de situations de VFG et de parvenir à une stabilité résidentielle. À la suite des coupes provinciales de 1995, les logements temporaires restent sans financement de base et dépendent entièrement de subventions. Les victimes-survivantes décrivent le logement de transition comme une véritable bouée de sauvetage, car il leur offre plus de temps après avoir quitté le système de refuges pour trouver un logement stable et permanent, tout en donnant accès à des services de soutien spécialisés supplémentaires. L’augmentation des fonds actuels pourrait également permettre de combler l’écart entre la durée du séjour en refuge (qu’il s’agisse d’un refuge d’urgence ou de transition) et le délai nécessaire pour recevoir une offre de logement subventionné par l’entremise du programme de logement à priorité spéciale, afin de s’assurer que les clients ne soient pas expulsés vers des logements précaires en attendant un logement permanent.</w:t>
      </w:r>
    </w:p>
    <w:p w14:paraId="1C2ED723" w14:textId="77777777" w:rsidR="004A067D" w:rsidRPr="00994000" w:rsidRDefault="00E3418B" w:rsidP="0086579E">
      <w:pPr>
        <w:pStyle w:val="BodyText"/>
        <w:spacing w:before="310" w:line="276" w:lineRule="auto"/>
        <w:ind w:left="100" w:right="561"/>
        <w:rPr>
          <w:sz w:val="22"/>
          <w:lang w:val="fr-CA"/>
        </w:rPr>
      </w:pPr>
      <w:r w:rsidRPr="00994000">
        <w:rPr>
          <w:sz w:val="22"/>
          <w:lang w:val="fr-CA"/>
        </w:rPr>
        <w:t xml:space="preserve">La plupart des victimes-survivantes ne peuvent se permettre que le logement social, et beaucoup ont besoin de soutiens supplémentaires pour conserver un logement stable. Par conséquent, des options de logement social et avec services de soutien doivent être facilement accessibles aux ménages ayant des besoins en logement, en particulier aux victimes-survivantes de violences fondées sur le genre (VFG). À l’heure actuelle, de nombreuses personnes sont sur de longues listes d’attente et pourraient être admissibles à la PCOL pour un logement locatif sur le marché privé avant qu’un logement ne se libère dans le parc de logements hors marché. La pratique actuelle qui consiste à détourner les ménages des listes d’attente de logements sociaux vers le marché locatif privé au moyen de la PCOL n’est pas efficace. La subvention versée dans le cadre de la PCOL est plafonnée et n’a pas suivi l’évolution des coûts réels des logements locatifs sur le marché privé. À moins qu’il y ait </w:t>
      </w:r>
      <w:r w:rsidRPr="00994000">
        <w:rPr>
          <w:sz w:val="22"/>
          <w:lang w:val="fr-CA"/>
        </w:rPr>
        <w:lastRenderedPageBreak/>
        <w:t>renouvellement de l’entente PCOL (dont l’échéance est prévue en 2028), l’avenir de ce programme, ainsi que celui des personnes qui en dépendent, est sérieusement menacé.</w:t>
      </w:r>
    </w:p>
    <w:p w14:paraId="3A06B6F7" w14:textId="77777777" w:rsidR="004A067D" w:rsidRPr="00994000" w:rsidRDefault="00E3418B" w:rsidP="00DE3190">
      <w:pPr>
        <w:pStyle w:val="BodyText"/>
        <w:spacing w:before="310" w:line="276" w:lineRule="auto"/>
        <w:ind w:left="100" w:right="682"/>
        <w:rPr>
          <w:sz w:val="22"/>
          <w:lang w:val="fr-CA"/>
        </w:rPr>
      </w:pPr>
      <w:r w:rsidRPr="00994000">
        <w:rPr>
          <w:sz w:val="22"/>
          <w:lang w:val="fr-CA"/>
        </w:rPr>
        <w:t>Les coûts liés au déménagement constituent un obstacle majeur à la stabilisation du logement, car ils limitent la capacité d’une victime-survivante à partir et peuvent l’obliger à rester plus longtemps dans des situations dangereuses. La province doit créer un fonds de soutien pour les victimes-survivantes de VFG afin de couvrir le premier et le dernier mois de loyer, les dommages locatifs, les frais de stockage, les coûts de déménagement, les frais de raccordement ou de résiliation des services publics, ainsi que les nuitées d’hôtel pour les victimes-survivantes ne pouvant accéder aux refuges.</w:t>
      </w:r>
    </w:p>
    <w:p w14:paraId="2D66A79B" w14:textId="77777777" w:rsidR="004A067D" w:rsidRPr="00994000" w:rsidRDefault="00E3418B" w:rsidP="00DE3190">
      <w:pPr>
        <w:pStyle w:val="BodyText"/>
        <w:spacing w:before="310" w:line="276" w:lineRule="auto"/>
        <w:ind w:left="100" w:right="587"/>
        <w:rPr>
          <w:sz w:val="22"/>
          <w:lang w:val="fr-CA"/>
        </w:rPr>
      </w:pPr>
      <w:r w:rsidRPr="00994000">
        <w:rPr>
          <w:sz w:val="22"/>
          <w:lang w:val="fr-CA"/>
        </w:rPr>
        <w:t>Enfin, il faut des ressources et des fonds pour élaborer une stratégie provinciale en matière de VFG. Bien que le ministère des Services à l’enfance, des Services sociaux et communautaires (MCSS) ait élaboré une stratégie de lutte contre la traite de personnes, celle-ci ne constitue pas une stratégie globale de lutte contre la VFG. Une stratégie provinciale en matière de VFG qui dépasse le seul contexte criminel améliorera la capacité de la province à prévenir et à contrer la VFG, à allouer des fonds là où ils sont nécessaires et à contribuer au Plan d’action national pour mettre fin à la violence fondée sur le genre du gouvernement fédéral.</w:t>
      </w:r>
    </w:p>
    <w:p w14:paraId="56F36A0A" w14:textId="77777777" w:rsidR="004A067D" w:rsidRPr="00994000" w:rsidRDefault="00E3418B" w:rsidP="00DE3190">
      <w:pPr>
        <w:pStyle w:val="Heading2"/>
        <w:spacing w:before="310"/>
        <w:ind w:left="208"/>
        <w:rPr>
          <w:sz w:val="22"/>
        </w:rPr>
      </w:pPr>
      <w:r w:rsidRPr="00994000">
        <w:rPr>
          <w:sz w:val="22"/>
          <w:lang w:val="fr-CA"/>
        </w:rPr>
        <w:t>Recommandations</w:t>
      </w:r>
      <w:r w:rsidRPr="00994000">
        <w:rPr>
          <w:b w:val="0"/>
          <w:bCs w:val="0"/>
          <w:sz w:val="22"/>
          <w:lang w:val="fr-CA"/>
        </w:rPr>
        <w:t> </w:t>
      </w:r>
      <w:r w:rsidRPr="00994000">
        <w:rPr>
          <w:sz w:val="22"/>
          <w:lang w:val="fr-CA"/>
        </w:rPr>
        <w:t>:</w:t>
      </w:r>
    </w:p>
    <w:p w14:paraId="23F67F95" w14:textId="77777777" w:rsidR="004A067D" w:rsidRPr="00994000" w:rsidRDefault="00E3418B" w:rsidP="00DE3190">
      <w:pPr>
        <w:pStyle w:val="ListParagraph"/>
        <w:numPr>
          <w:ilvl w:val="1"/>
          <w:numId w:val="2"/>
        </w:numPr>
        <w:tabs>
          <w:tab w:val="left" w:pos="928"/>
          <w:tab w:val="left" w:pos="929"/>
        </w:tabs>
        <w:spacing w:before="310"/>
        <w:ind w:hanging="361"/>
        <w:rPr>
          <w:b/>
          <w:lang w:val="fr-CA"/>
        </w:rPr>
      </w:pPr>
      <w:r w:rsidRPr="00994000">
        <w:rPr>
          <w:lang w:val="fr-CA"/>
        </w:rPr>
        <w:t>Réintroduire et adopter le projet de loi 55 (anciennement projet de loi 173).</w:t>
      </w:r>
    </w:p>
    <w:p w14:paraId="42894C3F" w14:textId="77777777" w:rsidR="004A067D" w:rsidRPr="00994000" w:rsidRDefault="00E3418B">
      <w:pPr>
        <w:pStyle w:val="ListParagraph"/>
        <w:numPr>
          <w:ilvl w:val="1"/>
          <w:numId w:val="2"/>
        </w:numPr>
        <w:tabs>
          <w:tab w:val="left" w:pos="928"/>
          <w:tab w:val="left" w:pos="929"/>
        </w:tabs>
        <w:spacing w:before="39" w:line="273" w:lineRule="auto"/>
        <w:ind w:right="867"/>
        <w:rPr>
          <w:lang w:val="fr-CA"/>
        </w:rPr>
      </w:pPr>
      <w:r w:rsidRPr="00994000">
        <w:rPr>
          <w:lang w:val="fr-CA"/>
        </w:rPr>
        <w:t>S’engager de manière significative auprès des victimes-survivantes, des défenseurs de longue date et des principales parties prenantes afin de commencer à planifier les prochaines étapes de mise en œuvre pour éliminer la VFG en Ontario.</w:t>
      </w:r>
    </w:p>
    <w:p w14:paraId="283EF3EA" w14:textId="77777777" w:rsidR="004A067D" w:rsidRPr="00994000" w:rsidRDefault="00E3418B">
      <w:pPr>
        <w:pStyle w:val="ListParagraph"/>
        <w:numPr>
          <w:ilvl w:val="1"/>
          <w:numId w:val="2"/>
        </w:numPr>
        <w:tabs>
          <w:tab w:val="left" w:pos="928"/>
          <w:tab w:val="left" w:pos="929"/>
        </w:tabs>
        <w:spacing w:before="5" w:line="273" w:lineRule="auto"/>
        <w:ind w:right="1148"/>
        <w:rPr>
          <w:lang w:val="fr-CA"/>
        </w:rPr>
      </w:pPr>
      <w:r w:rsidRPr="00994000">
        <w:rPr>
          <w:lang w:val="fr-CA"/>
        </w:rPr>
        <w:t>Réinjecter des fonds dans le logement public, les logements avec services de soutien et l’allocation de logement transférable afin de garantir des choix de logement accessibles, d’assurer la sécurité et de permettre aux personnes sortant de situations de VFG d’atteindre une stabilité résidentielle.</w:t>
      </w:r>
    </w:p>
    <w:p w14:paraId="1220287C" w14:textId="77777777" w:rsidR="004A067D" w:rsidRPr="00994000" w:rsidRDefault="00E3418B">
      <w:pPr>
        <w:pStyle w:val="ListParagraph"/>
        <w:numPr>
          <w:ilvl w:val="1"/>
          <w:numId w:val="2"/>
        </w:numPr>
        <w:tabs>
          <w:tab w:val="left" w:pos="928"/>
          <w:tab w:val="left" w:pos="929"/>
        </w:tabs>
        <w:spacing w:before="4" w:line="273" w:lineRule="auto"/>
        <w:ind w:right="646"/>
        <w:rPr>
          <w:lang w:val="fr-CA"/>
        </w:rPr>
      </w:pPr>
      <w:r w:rsidRPr="00994000">
        <w:rPr>
          <w:lang w:val="fr-CA"/>
        </w:rPr>
        <w:t>Créer un fonds de soutien pour les victimes-survivantes de VFG afin de couvrir le premier et le dernier mois de loyer, les dommages locatifs, les frais d’entreposage, les frais de déménagement, les frais d’annulation/de branchement des services publics, ainsi que les séjours à l’hôtel pour les victimes-survivantes qui n’ont pas accès aux refuges.</w:t>
      </w:r>
    </w:p>
    <w:p w14:paraId="76BDD3AB" w14:textId="77777777" w:rsidR="004A067D" w:rsidRPr="00994000" w:rsidRDefault="00E3418B">
      <w:pPr>
        <w:pStyle w:val="ListParagraph"/>
        <w:numPr>
          <w:ilvl w:val="1"/>
          <w:numId w:val="2"/>
        </w:numPr>
        <w:tabs>
          <w:tab w:val="left" w:pos="928"/>
          <w:tab w:val="left" w:pos="929"/>
        </w:tabs>
        <w:spacing w:before="2" w:line="271" w:lineRule="auto"/>
        <w:ind w:right="1201"/>
        <w:rPr>
          <w:lang w:val="fr-CA"/>
        </w:rPr>
      </w:pPr>
      <w:r w:rsidRPr="00994000">
        <w:rPr>
          <w:lang w:val="fr-CA"/>
        </w:rPr>
        <w:t>Fournir les fonds et les ressources requis pour développer une stratégie VFG provinciale complète.</w:t>
      </w:r>
    </w:p>
    <w:p w14:paraId="6B6E30EB" w14:textId="77777777" w:rsidR="004A067D" w:rsidRPr="00994000" w:rsidRDefault="00E3418B">
      <w:pPr>
        <w:pStyle w:val="ListParagraph"/>
        <w:numPr>
          <w:ilvl w:val="1"/>
          <w:numId w:val="2"/>
        </w:numPr>
        <w:tabs>
          <w:tab w:val="left" w:pos="928"/>
          <w:tab w:val="left" w:pos="929"/>
        </w:tabs>
        <w:spacing w:before="9"/>
        <w:ind w:hanging="361"/>
        <w:rPr>
          <w:lang w:val="fr-CA"/>
        </w:rPr>
      </w:pPr>
      <w:r w:rsidRPr="00994000">
        <w:rPr>
          <w:lang w:val="fr-CA"/>
        </w:rPr>
        <w:t>Augmenter le financement de l’Allocation canadienne-ontarienne pour le logement.</w:t>
      </w:r>
    </w:p>
    <w:p w14:paraId="6A57AB8A" w14:textId="77777777" w:rsidR="004A067D" w:rsidRPr="00994000" w:rsidRDefault="00E3418B" w:rsidP="00813150">
      <w:pPr>
        <w:pStyle w:val="Heading2"/>
        <w:numPr>
          <w:ilvl w:val="0"/>
          <w:numId w:val="2"/>
        </w:numPr>
        <w:tabs>
          <w:tab w:val="left" w:pos="821"/>
        </w:tabs>
        <w:spacing w:before="440"/>
        <w:ind w:hanging="361"/>
        <w:jc w:val="left"/>
        <w:rPr>
          <w:sz w:val="22"/>
          <w:lang w:val="fr-CA"/>
        </w:rPr>
      </w:pPr>
      <w:bookmarkStart w:id="2" w:name="_bookmark2"/>
      <w:bookmarkEnd w:id="2"/>
      <w:r w:rsidRPr="00994000">
        <w:rPr>
          <w:sz w:val="22"/>
          <w:lang w:val="fr-CA"/>
        </w:rPr>
        <w:t>Apporter des réformes significatives à la Commission de la location immobilière (CLI)</w:t>
      </w:r>
    </w:p>
    <w:p w14:paraId="3E6185EA" w14:textId="5A0AAFB5" w:rsidR="004A067D" w:rsidRPr="00994000" w:rsidRDefault="00E3418B" w:rsidP="00813150">
      <w:pPr>
        <w:pStyle w:val="BodyText"/>
        <w:spacing w:before="310" w:line="276" w:lineRule="auto"/>
        <w:ind w:left="100" w:right="616"/>
        <w:rPr>
          <w:sz w:val="22"/>
          <w:lang w:val="fr-CA"/>
        </w:rPr>
      </w:pPr>
      <w:r w:rsidRPr="00994000">
        <w:rPr>
          <w:sz w:val="22"/>
          <w:lang w:val="fr-CA"/>
        </w:rPr>
        <w:t xml:space="preserve">Les Ontariennes et les Ontariens ont fait part de leurs préoccupations à leurs cliniques juridiques locales, au Bureau de l’Ombudsman, à la Commission ontarienne des droits de la personne, à l’Association du Barreau de l’Ontario et à d’autres partenaires du secteur de la justice concernant la façon dont la Commission de la location immobilière (CLI) administre la </w:t>
      </w:r>
      <w:r w:rsidRPr="00994000">
        <w:rPr>
          <w:sz w:val="22"/>
          <w:lang w:val="fr-CA"/>
        </w:rPr>
        <w:lastRenderedPageBreak/>
        <w:t>justice en Ontario. Ces préoccupations comprennent des délais d’attente sans précédent et la création d’obstacles supplémentaires pour les Ontariennes et Ontariens lors du passage à un modèle de prestation de services à distance.</w:t>
      </w:r>
    </w:p>
    <w:p w14:paraId="4A36C67B" w14:textId="77777777" w:rsidR="004A067D" w:rsidRPr="000A65D1" w:rsidRDefault="00E3418B" w:rsidP="00020B3C">
      <w:pPr>
        <w:pStyle w:val="BodyText"/>
        <w:spacing w:before="310" w:line="276" w:lineRule="auto"/>
        <w:ind w:left="100" w:right="530"/>
        <w:rPr>
          <w:sz w:val="22"/>
          <w:vertAlign w:val="superscript"/>
          <w:lang w:val="fr-FR"/>
        </w:rPr>
      </w:pPr>
      <w:r w:rsidRPr="00994000">
        <w:rPr>
          <w:sz w:val="22"/>
          <w:lang w:val="fr-CA"/>
        </w:rPr>
        <w:t>La recherche confirme que de nombreux Ontariens sont confrontés à d’importants obstacles lorsqu’ils doivent participer à des audiences numériques d’une journée devant la CLI afin de défendre leurs droits en matière de logement. Les obstacles technologiques, qui touchent de manière disproportionnée les ménages à faibles revenus, sont bien documentés.</w:t>
      </w:r>
      <w:hyperlink w:anchor="_bookmark42" w:history="1">
        <w:r w:rsidRPr="00994000">
          <w:rPr>
            <w:sz w:val="22"/>
            <w:vertAlign w:val="superscript"/>
            <w:lang w:val="fr-CA"/>
          </w:rPr>
          <w:t xml:space="preserve">36 </w:t>
        </w:r>
      </w:hyperlink>
      <w:r w:rsidRPr="00994000">
        <w:rPr>
          <w:sz w:val="22"/>
          <w:lang w:val="fr-CA"/>
        </w:rPr>
        <w:t>On ne peut pas attribuer le faible recours aux dépôts en personne par l’entremise de Service Ontario à une simple préférence pour les services électroniques sans examiner les obstacles à l’accès, surtout si l’on tient compte des interruptions de Service Ontario (y compris les fermetures imprévues) et du partenariat avec Staples (dont les coûts ont été sous-estimés et dont les effets sur l’amélioration des services pour les Ontariens et les Ontariennes demeurent inconnus).</w:t>
      </w:r>
      <w:hyperlink w:anchor="_bookmark43" w:history="1">
        <w:r w:rsidRPr="00994000">
          <w:rPr>
            <w:sz w:val="22"/>
            <w:vertAlign w:val="superscript"/>
            <w:lang w:val="fr-CA"/>
          </w:rPr>
          <w:t>37</w:t>
        </w:r>
      </w:hyperlink>
    </w:p>
    <w:p w14:paraId="0B8E0B23" w14:textId="77777777" w:rsidR="004A067D" w:rsidRPr="000A65D1" w:rsidRDefault="00E3418B" w:rsidP="00020B3C">
      <w:pPr>
        <w:pStyle w:val="BodyText"/>
        <w:spacing w:before="310" w:line="276" w:lineRule="auto"/>
        <w:ind w:left="100" w:right="542"/>
        <w:rPr>
          <w:sz w:val="22"/>
          <w:vertAlign w:val="superscript"/>
          <w:lang w:val="fr-FR"/>
        </w:rPr>
      </w:pPr>
      <w:r w:rsidRPr="00994000">
        <w:rPr>
          <w:sz w:val="22"/>
          <w:lang w:val="fr-CA"/>
        </w:rPr>
        <w:t>Le modèle d’audiences à distance a également inutilement allongé la durée des blocs d’audiences en raison de la confusion des parties au début des audiences. De plus, un plus grand nombre de différends sont soumis à une audience au fond, comparativement au processus d’audiences en personne. Parallèlement, la proportion de demandes réglées par médiation ne cesse de chuter. Lorsque cela est possible, la médiation a généralement lieu le même jour que l’audience prévue et constitue un processus plus avantageux et plus rapide tant pour les propriétaires que pour les locataires. L’inefficacité de la suppression des services en personne est exposée dans le rapport annuel de la Commission de la location immobilière sur son arriéré de dossiers. Avant la suppression des services en personne en 2020, 14,2 % des 82 095 demandes avaient été traitées par médiation et le retard accumulé touchait 22 803 dossiers.</w:t>
      </w:r>
      <w:hyperlink w:anchor="_bookmark44" w:history="1">
        <w:r w:rsidRPr="00994000">
          <w:rPr>
            <w:sz w:val="22"/>
            <w:vertAlign w:val="superscript"/>
            <w:lang w:val="fr-CA"/>
          </w:rPr>
          <w:t xml:space="preserve">38 </w:t>
        </w:r>
      </w:hyperlink>
      <w:r w:rsidRPr="00994000">
        <w:rPr>
          <w:sz w:val="22"/>
          <w:lang w:val="fr-CA"/>
        </w:rPr>
        <w:t>Quatre ans plus tard, le retard avait gonflé à 53 030 dossiers (soit seulement 27 de moins que dans le rapport annuel précédent), tandis que seulement 6 % des demandes étaient traitées par médiation.</w:t>
      </w:r>
      <w:hyperlink w:anchor="_bookmark45" w:history="1">
        <w:r w:rsidRPr="00994000">
          <w:rPr>
            <w:sz w:val="22"/>
            <w:vertAlign w:val="superscript"/>
            <w:lang w:val="fr-CA"/>
          </w:rPr>
          <w:t>39</w:t>
        </w:r>
      </w:hyperlink>
    </w:p>
    <w:p w14:paraId="406713C2" w14:textId="77777777" w:rsidR="004A067D" w:rsidRPr="000A65D1" w:rsidRDefault="00E3418B" w:rsidP="00020B3C">
      <w:pPr>
        <w:pStyle w:val="BodyText"/>
        <w:spacing w:before="310" w:line="276" w:lineRule="auto"/>
        <w:ind w:left="100" w:right="521"/>
        <w:rPr>
          <w:sz w:val="22"/>
          <w:vertAlign w:val="superscript"/>
          <w:lang w:val="fr-FR"/>
        </w:rPr>
      </w:pPr>
      <w:r w:rsidRPr="00994000">
        <w:rPr>
          <w:sz w:val="22"/>
          <w:lang w:val="fr-CA"/>
        </w:rPr>
        <w:t>Les données sur la productivité et l’efficacité des arbitres révèlent un autre problème. Le rapport annuel 2024-2025 de la CLI indique que 108 146 demandes ont été traitées. Parmi celles-ci, seulement 47 %, soit 50 828 demandes, ont été réglées à l’issue d’une audience. Cela signifie que le nombre moyen de dossiers réglés à l’issue d’une audience pour les 133 arbitres était de 382,1 demandes par arbitre. En 2018-2019, alors qu’il y avait 51 arbitres, 79 476 demandes ont été traitées. Soixante-et-un pour cent, soit 48 480 demandes, ont été réglées à l’issue d’une audience, soit en moyenne 950 demandes par arbitre.</w:t>
      </w:r>
      <w:hyperlink w:anchor="_bookmark46" w:history="1">
        <w:r w:rsidRPr="00994000">
          <w:rPr>
            <w:sz w:val="22"/>
            <w:vertAlign w:val="superscript"/>
            <w:lang w:val="fr-CA"/>
          </w:rPr>
          <w:t>40</w:t>
        </w:r>
      </w:hyperlink>
    </w:p>
    <w:p w14:paraId="07C6CDD2" w14:textId="77777777" w:rsidR="004A067D" w:rsidRPr="00994000" w:rsidRDefault="00E3418B" w:rsidP="00020B3C">
      <w:pPr>
        <w:pStyle w:val="BodyText"/>
        <w:spacing w:before="310" w:line="276" w:lineRule="auto"/>
        <w:ind w:left="100" w:right="682"/>
        <w:rPr>
          <w:sz w:val="22"/>
          <w:lang w:val="fr-CA"/>
        </w:rPr>
      </w:pPr>
      <w:r w:rsidRPr="00994000">
        <w:rPr>
          <w:sz w:val="22"/>
          <w:lang w:val="fr-CA"/>
        </w:rPr>
        <w:t>Le système actuel ne fonctionne pas. Un arriéré accablant entraîne des rejets précipités, une accumulation d’arriérés de loyer et des problèmes techniques persistants. La CLI doit rétablir les audiences en personne afin de s’assurer que des options sont offertes pour répondre aux besoins de toutes les parties prenantes; une recommandation également reprise par la Toronto Regional Real Estate Board (TRREB) et l’Ontario Real Estate Association (OREA).</w:t>
      </w:r>
      <w:hyperlink w:anchor="_bookmark47" w:history="1">
        <w:r w:rsidRPr="00994000">
          <w:rPr>
            <w:sz w:val="22"/>
            <w:vertAlign w:val="superscript"/>
            <w:lang w:val="fr-CA"/>
          </w:rPr>
          <w:t xml:space="preserve">41 </w:t>
        </w:r>
      </w:hyperlink>
      <w:r w:rsidRPr="00994000">
        <w:rPr>
          <w:sz w:val="22"/>
          <w:lang w:val="fr-CA"/>
        </w:rPr>
        <w:t>Le projet de loi 60 n’améliorera pas la CLI ni la situation des propriétaires, car il ne fait qu’ajouter des demandes au système et alourdira davantage le retard en réduisant le délai d’attente pour le dépôt des demandes L1.</w:t>
      </w:r>
    </w:p>
    <w:p w14:paraId="5C7F0FE2" w14:textId="2E93CE25" w:rsidR="004A067D" w:rsidRPr="00994000" w:rsidRDefault="00E3418B" w:rsidP="00C641A1">
      <w:pPr>
        <w:pStyle w:val="BodyText"/>
        <w:spacing w:before="310" w:line="276" w:lineRule="auto"/>
        <w:ind w:left="100" w:right="682"/>
        <w:rPr>
          <w:sz w:val="22"/>
          <w:lang w:val="fr-CA"/>
        </w:rPr>
      </w:pPr>
      <w:r w:rsidRPr="00994000">
        <w:rPr>
          <w:sz w:val="22"/>
          <w:lang w:val="fr-CA"/>
        </w:rPr>
        <w:lastRenderedPageBreak/>
        <w:t>De plus, la mise en place de seuils minimaux d’arriérés permettrait également de réduire l’arriéré actuel en empêchant les demandes frivoles d’encombrer la file d’attente. Présentement,</w:t>
      </w:r>
      <w:r w:rsidR="00E12F82" w:rsidRPr="00994000">
        <w:rPr>
          <w:sz w:val="22"/>
          <w:lang w:val="fr-CA"/>
        </w:rPr>
        <w:t xml:space="preserve"> </w:t>
      </w:r>
      <w:r w:rsidRPr="00994000">
        <w:rPr>
          <w:sz w:val="22"/>
          <w:lang w:val="fr-CA"/>
        </w:rPr>
        <w:t>le montant minimal exigé pour une demande d’éviction n’est que de 5 $. Nous recommandons d’ajuster ce montant minimal de façon qu’il corresponde à un mois de loyer. Plus précisément,</w:t>
      </w:r>
      <w:r w:rsidR="00C641A1">
        <w:rPr>
          <w:sz w:val="22"/>
          <w:lang w:val="fr-CA"/>
        </w:rPr>
        <w:t xml:space="preserve"> </w:t>
      </w:r>
      <w:r w:rsidRPr="00994000">
        <w:rPr>
          <w:sz w:val="22"/>
          <w:lang w:val="fr-CA"/>
        </w:rPr>
        <w:t>1 000 $ pour les logements construits ou d’abord occupés à des fins résidentielles avant le 15 novembre 2018 et 2 000 $ pour les logements construits ou d’abord occupés à des fins résidentielles après le 15 novembre 2018.</w:t>
      </w:r>
    </w:p>
    <w:p w14:paraId="0D7BDF70" w14:textId="77777777" w:rsidR="004A067D" w:rsidRPr="00994000" w:rsidRDefault="00E3418B" w:rsidP="00C641A1">
      <w:pPr>
        <w:pStyle w:val="BodyText"/>
        <w:spacing w:before="310" w:line="276" w:lineRule="auto"/>
        <w:ind w:left="100" w:right="530"/>
        <w:rPr>
          <w:sz w:val="22"/>
          <w:lang w:val="fr-CA"/>
        </w:rPr>
      </w:pPr>
      <w:r w:rsidRPr="00994000">
        <w:rPr>
          <w:sz w:val="22"/>
          <w:lang w:val="fr-CA"/>
        </w:rPr>
        <w:t>La CLI avait une longue tradition d’offrir un règlement des litiges de qualité et efficace avant de passer à un modèle de services à distance. Ce haut niveau a été atteint grâce à la mise en place de services régionaux en personne et à un accès sans obstacle pour ses nombreux usagers.</w:t>
      </w:r>
    </w:p>
    <w:p w14:paraId="46A33984" w14:textId="473CBBB6" w:rsidR="004A067D" w:rsidRPr="00994000" w:rsidRDefault="00E3418B" w:rsidP="00C641A1">
      <w:pPr>
        <w:pStyle w:val="BodyText"/>
        <w:spacing w:before="310" w:line="276" w:lineRule="auto"/>
        <w:ind w:left="100" w:right="595"/>
        <w:rPr>
          <w:sz w:val="22"/>
          <w:lang w:val="fr-CA"/>
        </w:rPr>
      </w:pPr>
      <w:r w:rsidRPr="00994000">
        <w:rPr>
          <w:sz w:val="22"/>
          <w:lang w:val="fr-CA"/>
        </w:rPr>
        <w:t>Pour corriger le tir et améliorer l’accès à la justice pour les locataires, le procureur général de l’Ontario et le juge en chef de la Cour de justice de l’Ontario doivent rendre obligatoire la collecte et la publication de données plus claires et plus à jour permettant de suivre la situation en matière de logement et les résultats concrets pour les locataires, y compris les données relatives aux demandes présentées à la CLI. Nous avons besoin de données ventilées par région et par type de préavis (c’est-à-dire les demandes L2 ventilées selon les préavis N12 et N13). Nous avons également besoin du même niveau de désagrégation des données pour les résultats réels de chaque demande (ce qui constituerait tout de même un niveau protégeant la vie privée des locataires). Cela devrait inclure la décision ou l’ordonnance du décideur (c.-à-d., si elle est en faveur du demandeur ou de l’intimé). Elle devrait également consigner le nombre d’ordonnances d’expulsion déposées auprès du shérif (Bureau d’exécution des ordonnances de la cour), ainsi que le nombre d’expulsions effectivement exécutées (y compris si l’ancien locataire dispose</w:t>
      </w:r>
      <w:r w:rsidR="00E12F82" w:rsidRPr="00994000">
        <w:rPr>
          <w:sz w:val="22"/>
          <w:lang w:val="fr-CA"/>
        </w:rPr>
        <w:t xml:space="preserve"> </w:t>
      </w:r>
      <w:r w:rsidRPr="00994000">
        <w:rPr>
          <w:sz w:val="22"/>
          <w:lang w:val="fr-CA"/>
        </w:rPr>
        <w:t>d’un autre logement). Nous avons également besoin d’un mécanisme pour assurer le règlement des ordonnances à durée déterminée et d’une collecte de données qui en rende compte (p. ex., l’expiration des AGI).</w:t>
      </w:r>
    </w:p>
    <w:p w14:paraId="4B4E053F" w14:textId="38B7AC2F" w:rsidR="004A067D" w:rsidRPr="00994000" w:rsidRDefault="00E3418B" w:rsidP="00C641A1">
      <w:pPr>
        <w:pStyle w:val="BodyText"/>
        <w:spacing w:before="310" w:line="276" w:lineRule="auto"/>
        <w:ind w:left="100" w:right="624"/>
        <w:rPr>
          <w:sz w:val="22"/>
          <w:lang w:val="fr-CA"/>
        </w:rPr>
      </w:pPr>
      <w:r w:rsidRPr="00994000">
        <w:rPr>
          <w:sz w:val="22"/>
          <w:lang w:val="fr-CA"/>
        </w:rPr>
        <w:t>Tous les éléments susmentionnés devraient être accessibles au public</w:t>
      </w:r>
      <w:r w:rsidR="00E12F82" w:rsidRPr="00994000">
        <w:rPr>
          <w:sz w:val="22"/>
          <w:lang w:val="fr-CA"/>
        </w:rPr>
        <w:t xml:space="preserve"> </w:t>
      </w:r>
      <w:r w:rsidRPr="00994000">
        <w:rPr>
          <w:sz w:val="22"/>
          <w:lang w:val="fr-CA"/>
        </w:rPr>
        <w:t>gratuitement et publiés selon un calendrier régulier.</w:t>
      </w:r>
    </w:p>
    <w:p w14:paraId="371675E6" w14:textId="77777777" w:rsidR="004A067D" w:rsidRPr="00994000" w:rsidRDefault="00E3418B" w:rsidP="00C641A1">
      <w:pPr>
        <w:pStyle w:val="Heading2"/>
        <w:spacing w:before="480"/>
        <w:rPr>
          <w:sz w:val="22"/>
        </w:rPr>
      </w:pPr>
      <w:r w:rsidRPr="00994000">
        <w:rPr>
          <w:sz w:val="22"/>
          <w:lang w:val="fr-CA"/>
        </w:rPr>
        <w:t>Recommandations</w:t>
      </w:r>
      <w:r w:rsidRPr="00994000">
        <w:rPr>
          <w:b w:val="0"/>
          <w:bCs w:val="0"/>
          <w:sz w:val="22"/>
          <w:lang w:val="fr-CA"/>
        </w:rPr>
        <w:t> </w:t>
      </w:r>
      <w:r w:rsidRPr="00994000">
        <w:rPr>
          <w:sz w:val="22"/>
          <w:lang w:val="fr-CA"/>
        </w:rPr>
        <w:t>:</w:t>
      </w:r>
    </w:p>
    <w:p w14:paraId="73B5BB2A" w14:textId="77777777" w:rsidR="004A067D" w:rsidRPr="00994000" w:rsidRDefault="00E3418B">
      <w:pPr>
        <w:pStyle w:val="ListParagraph"/>
        <w:numPr>
          <w:ilvl w:val="0"/>
          <w:numId w:val="3"/>
        </w:numPr>
        <w:tabs>
          <w:tab w:val="left" w:pos="820"/>
          <w:tab w:val="left" w:pos="821"/>
        </w:tabs>
        <w:spacing w:before="44"/>
        <w:ind w:hanging="361"/>
        <w:rPr>
          <w:lang w:val="fr-CA"/>
        </w:rPr>
      </w:pPr>
      <w:r w:rsidRPr="00994000">
        <w:rPr>
          <w:lang w:val="fr-CA"/>
        </w:rPr>
        <w:t>Offrir aux parties la possibilité de tenir une audience en personne.</w:t>
      </w:r>
    </w:p>
    <w:p w14:paraId="1DDA2675" w14:textId="77777777" w:rsidR="004A067D" w:rsidRPr="00994000" w:rsidRDefault="00E3418B">
      <w:pPr>
        <w:pStyle w:val="ListParagraph"/>
        <w:numPr>
          <w:ilvl w:val="0"/>
          <w:numId w:val="3"/>
        </w:numPr>
        <w:tabs>
          <w:tab w:val="left" w:pos="820"/>
          <w:tab w:val="left" w:pos="821"/>
        </w:tabs>
        <w:spacing w:before="40" w:line="273" w:lineRule="auto"/>
        <w:ind w:right="607"/>
        <w:rPr>
          <w:lang w:val="fr-CA"/>
        </w:rPr>
      </w:pPr>
      <w:r w:rsidRPr="00994000">
        <w:rPr>
          <w:lang w:val="fr-CA"/>
        </w:rPr>
        <w:t>Planifier les audiences par région de manière à éviter que plusieurs demandes visant la même adresse soient réparties dans différents blocs d’audiences. La planification des audiences à l’échelle provinciale selon la nature des affaires est inefficiente et entraîne des retards qui rendent le processus de règlement des différends inefficace.</w:t>
      </w:r>
    </w:p>
    <w:p w14:paraId="55021511" w14:textId="77777777" w:rsidR="004A067D" w:rsidRPr="00994000" w:rsidRDefault="00E3418B">
      <w:pPr>
        <w:pStyle w:val="ListParagraph"/>
        <w:numPr>
          <w:ilvl w:val="0"/>
          <w:numId w:val="3"/>
        </w:numPr>
        <w:tabs>
          <w:tab w:val="left" w:pos="820"/>
          <w:tab w:val="left" w:pos="821"/>
        </w:tabs>
        <w:spacing w:before="2" w:line="271" w:lineRule="auto"/>
        <w:ind w:right="871"/>
        <w:rPr>
          <w:lang w:val="fr-CA"/>
        </w:rPr>
      </w:pPr>
      <w:r w:rsidRPr="00994000">
        <w:rPr>
          <w:lang w:val="fr-CA"/>
        </w:rPr>
        <w:t>Rétablir le service au comptoir en personne dans les bureaux de Tribunaux décisionnels Ontario afin de réduire l’arriéré de dossiers.</w:t>
      </w:r>
    </w:p>
    <w:p w14:paraId="4BEF20B7" w14:textId="77777777" w:rsidR="004A067D" w:rsidRPr="00994000" w:rsidRDefault="00E3418B">
      <w:pPr>
        <w:pStyle w:val="ListParagraph"/>
        <w:numPr>
          <w:ilvl w:val="0"/>
          <w:numId w:val="3"/>
        </w:numPr>
        <w:tabs>
          <w:tab w:val="left" w:pos="820"/>
          <w:tab w:val="left" w:pos="821"/>
        </w:tabs>
        <w:spacing w:before="7" w:line="273" w:lineRule="auto"/>
        <w:ind w:right="556"/>
        <w:rPr>
          <w:lang w:val="fr-CA"/>
        </w:rPr>
      </w:pPr>
      <w:r w:rsidRPr="00994000">
        <w:rPr>
          <w:lang w:val="fr-CA"/>
        </w:rPr>
        <w:t>Augmenter le montant minimal des arriérés requis pour déposer une demande : 1 000 $ pour les logements construits ou d’abord occupés à des fins résidentielles avant le 15 novembre 2018, et 2 000 $ pour les logements construits après le 15 novembre 2018.</w:t>
      </w:r>
    </w:p>
    <w:p w14:paraId="72DEF439" w14:textId="32C3E486" w:rsidR="004A067D" w:rsidRPr="00994000" w:rsidRDefault="00E3418B" w:rsidP="00915949">
      <w:pPr>
        <w:pStyle w:val="ListParagraph"/>
        <w:numPr>
          <w:ilvl w:val="0"/>
          <w:numId w:val="3"/>
        </w:numPr>
        <w:tabs>
          <w:tab w:val="left" w:pos="820"/>
          <w:tab w:val="left" w:pos="821"/>
        </w:tabs>
        <w:spacing w:before="5" w:line="271" w:lineRule="auto"/>
        <w:ind w:right="630"/>
        <w:rPr>
          <w:lang w:val="fr-CA"/>
        </w:rPr>
      </w:pPr>
      <w:r w:rsidRPr="00994000">
        <w:rPr>
          <w:lang w:val="fr-CA"/>
        </w:rPr>
        <w:lastRenderedPageBreak/>
        <w:t>Le procureur général de l’Ontario et le juge en chef de la Cour de justice de l’Ontario doivent recueillir et partager des données ventilées et actualisées afin de suivre les tendances</w:t>
      </w:r>
      <w:r w:rsidR="00915949" w:rsidRPr="00994000">
        <w:rPr>
          <w:lang w:val="fr-CA"/>
        </w:rPr>
        <w:t xml:space="preserve"> </w:t>
      </w:r>
      <w:r w:rsidRPr="00915949">
        <w:rPr>
          <w:lang w:val="fr-CA"/>
        </w:rPr>
        <w:t>sous-jacentes, les résultats pour les locataires et les problèmes de logement, depuis le dépôt d’une demande auprès de la CLI jusqu’aux décisions finales.</w:t>
      </w:r>
    </w:p>
    <w:p w14:paraId="7C8AE88F" w14:textId="77777777" w:rsidR="004A067D" w:rsidRPr="00994000" w:rsidRDefault="00E3418B" w:rsidP="008317E9">
      <w:pPr>
        <w:pStyle w:val="Heading2"/>
        <w:numPr>
          <w:ilvl w:val="0"/>
          <w:numId w:val="2"/>
        </w:numPr>
        <w:tabs>
          <w:tab w:val="left" w:pos="821"/>
        </w:tabs>
        <w:spacing w:before="310"/>
        <w:ind w:hanging="361"/>
        <w:jc w:val="left"/>
        <w:rPr>
          <w:sz w:val="22"/>
          <w:lang w:val="fr-CA"/>
        </w:rPr>
      </w:pPr>
      <w:bookmarkStart w:id="3" w:name="_bookmark3"/>
      <w:bookmarkEnd w:id="3"/>
      <w:r w:rsidRPr="00994000">
        <w:rPr>
          <w:sz w:val="22"/>
          <w:lang w:val="fr-CA"/>
        </w:rPr>
        <w:t>Accroître la capacité de l’Unité d’exécution des mesures relatives aux logements locatifs (RHEU)</w:t>
      </w:r>
    </w:p>
    <w:p w14:paraId="014C4767" w14:textId="77777777" w:rsidR="004A067D" w:rsidRPr="00994000" w:rsidRDefault="00E3418B" w:rsidP="008317E9">
      <w:pPr>
        <w:pStyle w:val="BodyText"/>
        <w:spacing w:before="310" w:line="276" w:lineRule="auto"/>
        <w:ind w:left="100" w:right="1042"/>
        <w:rPr>
          <w:sz w:val="22"/>
          <w:lang w:val="fr-CA"/>
        </w:rPr>
      </w:pPr>
      <w:r w:rsidRPr="00994000">
        <w:rPr>
          <w:sz w:val="22"/>
          <w:lang w:val="fr-CA"/>
        </w:rPr>
        <w:t>La RHEU est responsable de l’application de plus de 50 infractions prévues par la Loi de 2006 sur la location à usage d’habitation, de la surveillance du respect de ces dispositions, de l’enquête sur les cas présumés de non-conformité et, au besoin, des poursuites contre les présumés contrevenants.</w:t>
      </w:r>
    </w:p>
    <w:p w14:paraId="6E46CCEF" w14:textId="77777777" w:rsidR="004A067D" w:rsidRPr="00994000" w:rsidRDefault="00E3418B" w:rsidP="008317E9">
      <w:pPr>
        <w:pStyle w:val="BodyText"/>
        <w:spacing w:before="310" w:line="276" w:lineRule="auto"/>
        <w:ind w:left="100" w:right="525"/>
        <w:rPr>
          <w:sz w:val="22"/>
          <w:lang w:val="fr-CA"/>
        </w:rPr>
      </w:pPr>
      <w:r w:rsidRPr="00994000">
        <w:rPr>
          <w:sz w:val="22"/>
          <w:lang w:val="fr-CA"/>
        </w:rPr>
        <w:t>Traditionnellement, la CLI sert de principal tribunal où les locataires et les propriétaires peuvent faire valoir leurs droits, la RHEU offrant un soutien complémentaire lorsque les parties ne peuvent pas avoir accès au processus de la CLI. Les longs délais d’audience à la CLI ont entraîné une hausse spectaculaire des demandes d’intervention auprès de la RHEU. Les interventions de la RHEU consistent généralement à encourager la conformité volontaire, avec un minimum d’enquêtes et, rarement, des renvois aux fins de poursuites. Ces limites, conjuguées aux longs délais de la CLI, ont créé un environnement où certaines parties font fi de leurs responsabilités prévues par la Loi sur la location à usage d’habitation (RTA) en toute impunité.</w:t>
      </w:r>
    </w:p>
    <w:p w14:paraId="45F13AAC" w14:textId="77777777" w:rsidR="004A067D" w:rsidRPr="000A65D1" w:rsidRDefault="00E3418B" w:rsidP="008317E9">
      <w:pPr>
        <w:pStyle w:val="BodyText"/>
        <w:spacing w:before="310" w:line="273" w:lineRule="auto"/>
        <w:ind w:left="100" w:right="560"/>
        <w:rPr>
          <w:sz w:val="22"/>
          <w:vertAlign w:val="superscript"/>
          <w:lang w:val="fr-FR"/>
        </w:rPr>
      </w:pPr>
      <w:r w:rsidRPr="00994000">
        <w:rPr>
          <w:sz w:val="22"/>
          <w:lang w:val="fr-CA"/>
        </w:rPr>
        <w:t>En moyenne, la RHEU reçoit environ 18 400 appels par année et 1 500 dossiers sont ouverts. Sur ce nombre, seulement 200 dossiers (13 %) passent à l’étape de l’enquête et moins de 1 % des dossiers débouchent sur des condamnations devant la Cour de justice de l’Ontario.</w:t>
      </w:r>
      <w:hyperlink w:anchor="_bookmark48" w:history="1">
        <w:r w:rsidRPr="00994000">
          <w:rPr>
            <w:sz w:val="22"/>
            <w:vertAlign w:val="superscript"/>
            <w:lang w:val="fr-CA"/>
          </w:rPr>
          <w:t>42</w:t>
        </w:r>
      </w:hyperlink>
    </w:p>
    <w:p w14:paraId="7A3FA129" w14:textId="77777777" w:rsidR="004A067D" w:rsidRPr="00994000" w:rsidRDefault="00E3418B" w:rsidP="008317E9">
      <w:pPr>
        <w:pStyle w:val="BodyText"/>
        <w:spacing w:before="310" w:line="271" w:lineRule="auto"/>
        <w:ind w:left="100"/>
        <w:rPr>
          <w:sz w:val="22"/>
          <w:vertAlign w:val="superscript"/>
          <w:lang w:val="fr-CA"/>
        </w:rPr>
      </w:pPr>
      <w:r w:rsidRPr="00994000">
        <w:rPr>
          <w:sz w:val="22"/>
          <w:lang w:val="fr-CA"/>
        </w:rPr>
        <w:t>Entre 2022 et 2023, sur 16 394 appels, 1 452 (9 %) ont été réglés lors de la « phase de respect ».</w:t>
      </w:r>
      <w:hyperlink w:anchor="_bookmark49" w:history="1">
        <w:r w:rsidRPr="00994000">
          <w:rPr>
            <w:sz w:val="22"/>
            <w:vertAlign w:val="superscript"/>
            <w:lang w:val="fr-CA"/>
          </w:rPr>
          <w:t xml:space="preserve">43 </w:t>
        </w:r>
      </w:hyperlink>
      <w:r w:rsidRPr="00994000">
        <w:rPr>
          <w:sz w:val="22"/>
          <w:lang w:val="fr-CA"/>
        </w:rPr>
        <w:t>Au cours de cette période, seulement 219 dossiers (1 % de tous les appels) ont donné lieu à des enquêtes, ce qui n’a mené qu’à 21 poursuites et 17 condamnations</w:t>
      </w:r>
      <w:hyperlink w:anchor="_bookmark50" w:history="1">
        <w:r w:rsidRPr="00994000">
          <w:rPr>
            <w:sz w:val="22"/>
            <w:vertAlign w:val="superscript"/>
            <w:lang w:val="fr-CA"/>
          </w:rPr>
          <w:t>.44</w:t>
        </w:r>
      </w:hyperlink>
    </w:p>
    <w:p w14:paraId="5BAEDDC3" w14:textId="77777777" w:rsidR="004A067D" w:rsidRPr="00994000" w:rsidRDefault="00E3418B" w:rsidP="008317E9">
      <w:pPr>
        <w:pStyle w:val="BodyText"/>
        <w:spacing w:before="310" w:line="276" w:lineRule="auto"/>
        <w:ind w:left="100" w:right="682"/>
        <w:rPr>
          <w:sz w:val="22"/>
          <w:lang w:val="fr-CA"/>
        </w:rPr>
      </w:pPr>
      <w:r w:rsidRPr="00994000">
        <w:rPr>
          <w:sz w:val="22"/>
          <w:lang w:val="fr-CA"/>
        </w:rPr>
        <w:t>La RHEU a besoin d’une unité d’enquête entièrement dotée en personnel ainsi que de procureurs qui lui sont affectés afin d’assurer une application efficace des lois relatives à la location de logements résidentiels. En s’inspirant des modèles réussis d’autres provinces, un mandat élargi de la RHEU jouerait un rôle crucial dans la stabilisation de la crise du logement en Ontario. Par exemple, en Colombie-Britannique, le gouvernement augmente de 40 % le budget de fonctionnement et les effectifs de la Residential Tenancy Branch (RTB), notamment en doublant la taille de la Compliance and Enforcement Unit (CEU).</w:t>
      </w:r>
      <w:hyperlink w:anchor="_bookmark51" w:history="1">
        <w:r w:rsidRPr="00994000">
          <w:rPr>
            <w:sz w:val="22"/>
            <w:vertAlign w:val="superscript"/>
            <w:lang w:val="fr-CA"/>
          </w:rPr>
          <w:t xml:space="preserve">45 </w:t>
        </w:r>
      </w:hyperlink>
      <w:r w:rsidRPr="00994000">
        <w:rPr>
          <w:sz w:val="22"/>
          <w:lang w:val="fr-CA"/>
        </w:rPr>
        <w:t>La CEU remplit une fonction similaire à celle de la RHEU, en enquêtant sur les réclamations et en intervenant en cas d’infractions répétées ou graves en matière de location résidentielle, et, si nécessaire, en imposant des sanctions financières.</w:t>
      </w:r>
    </w:p>
    <w:p w14:paraId="350DC027" w14:textId="77777777" w:rsidR="004A067D" w:rsidRPr="00994000" w:rsidRDefault="00E3418B" w:rsidP="008317E9">
      <w:pPr>
        <w:pStyle w:val="BodyText"/>
        <w:spacing w:before="310" w:line="276" w:lineRule="auto"/>
        <w:ind w:left="100" w:right="561"/>
        <w:rPr>
          <w:sz w:val="22"/>
          <w:lang w:val="fr-CA"/>
        </w:rPr>
      </w:pPr>
      <w:r w:rsidRPr="00994000">
        <w:rPr>
          <w:sz w:val="22"/>
          <w:lang w:val="fr-CA"/>
        </w:rPr>
        <w:t>Une augmentation des ressources disponibles pour les enquêtes et les poursuites permettrait d’assurer une application plus rapide de la Loi sur la RTA et de veiller à ce que les parties respectent leurs obligations légales.</w:t>
      </w:r>
    </w:p>
    <w:p w14:paraId="45EC471B" w14:textId="77777777" w:rsidR="004A067D" w:rsidRPr="00994000" w:rsidRDefault="00E3418B" w:rsidP="008317E9">
      <w:pPr>
        <w:pStyle w:val="Heading2"/>
        <w:spacing w:before="310"/>
        <w:rPr>
          <w:sz w:val="22"/>
        </w:rPr>
      </w:pPr>
      <w:r w:rsidRPr="00994000">
        <w:rPr>
          <w:sz w:val="22"/>
          <w:lang w:val="fr-CA"/>
        </w:rPr>
        <w:lastRenderedPageBreak/>
        <w:t>Recommandations</w:t>
      </w:r>
      <w:r w:rsidRPr="00994000">
        <w:rPr>
          <w:b w:val="0"/>
          <w:bCs w:val="0"/>
          <w:sz w:val="22"/>
          <w:lang w:val="fr-CA"/>
        </w:rPr>
        <w:t> </w:t>
      </w:r>
      <w:r w:rsidRPr="00994000">
        <w:rPr>
          <w:sz w:val="22"/>
          <w:lang w:val="fr-CA"/>
        </w:rPr>
        <w:t>:</w:t>
      </w:r>
    </w:p>
    <w:p w14:paraId="41B727AB" w14:textId="77777777" w:rsidR="004A067D" w:rsidRPr="00994000" w:rsidRDefault="00E3418B">
      <w:pPr>
        <w:pStyle w:val="ListParagraph"/>
        <w:numPr>
          <w:ilvl w:val="0"/>
          <w:numId w:val="3"/>
        </w:numPr>
        <w:tabs>
          <w:tab w:val="left" w:pos="820"/>
          <w:tab w:val="left" w:pos="821"/>
        </w:tabs>
        <w:spacing w:before="81" w:line="273" w:lineRule="auto"/>
        <w:ind w:right="737"/>
        <w:rPr>
          <w:lang w:val="fr-CA"/>
        </w:rPr>
      </w:pPr>
      <w:r w:rsidRPr="00994000">
        <w:rPr>
          <w:lang w:val="fr-CA"/>
        </w:rPr>
        <w:t>Fournir des données en temps opportun afin d’expliquer l’écart entre le nombre d’appels et le nombre de dossiers, entre les dossiers ouverts et les condamnations, ainsi qu’en ce qui concerne l’application des sanctions maximales. Ces rapports doivent être rendus publics et accessibles.</w:t>
      </w:r>
    </w:p>
    <w:p w14:paraId="2A799A06" w14:textId="77777777" w:rsidR="004A067D" w:rsidRPr="00994000" w:rsidRDefault="00E3418B">
      <w:pPr>
        <w:pStyle w:val="ListParagraph"/>
        <w:numPr>
          <w:ilvl w:val="0"/>
          <w:numId w:val="3"/>
        </w:numPr>
        <w:tabs>
          <w:tab w:val="left" w:pos="820"/>
          <w:tab w:val="left" w:pos="821"/>
        </w:tabs>
        <w:spacing w:before="3"/>
        <w:ind w:hanging="361"/>
        <w:rPr>
          <w:lang w:val="fr-CA"/>
        </w:rPr>
      </w:pPr>
      <w:r w:rsidRPr="00994000">
        <w:rPr>
          <w:lang w:val="fr-CA"/>
        </w:rPr>
        <w:t>Accroître la capacité de l’Unité d’exécution des mesures relatives aux logements locatifs (RHEU)</w:t>
      </w:r>
    </w:p>
    <w:p w14:paraId="161695EC" w14:textId="77777777" w:rsidR="004A067D" w:rsidRPr="00994000" w:rsidRDefault="00E3418B">
      <w:pPr>
        <w:pStyle w:val="ListParagraph"/>
        <w:numPr>
          <w:ilvl w:val="0"/>
          <w:numId w:val="3"/>
        </w:numPr>
        <w:tabs>
          <w:tab w:val="left" w:pos="820"/>
          <w:tab w:val="left" w:pos="821"/>
        </w:tabs>
        <w:spacing w:before="40"/>
        <w:ind w:hanging="361"/>
        <w:rPr>
          <w:lang w:val="fr-CA"/>
        </w:rPr>
      </w:pPr>
      <w:r w:rsidRPr="00994000">
        <w:rPr>
          <w:lang w:val="fr-CA"/>
        </w:rPr>
        <w:t>Renforcer le mandat de poursuite des contrevenants au moyen de procureurs attitrés.</w:t>
      </w:r>
    </w:p>
    <w:p w14:paraId="50A9E6CD" w14:textId="77777777" w:rsidR="004A067D" w:rsidRPr="00994000" w:rsidRDefault="00E3418B" w:rsidP="00F358A2">
      <w:pPr>
        <w:pStyle w:val="Heading2"/>
        <w:numPr>
          <w:ilvl w:val="0"/>
          <w:numId w:val="2"/>
        </w:numPr>
        <w:tabs>
          <w:tab w:val="left" w:pos="527"/>
          <w:tab w:val="left" w:pos="528"/>
        </w:tabs>
        <w:spacing w:before="310" w:line="276" w:lineRule="auto"/>
        <w:ind w:left="527" w:right="712" w:hanging="428"/>
        <w:jc w:val="left"/>
        <w:rPr>
          <w:sz w:val="22"/>
          <w:lang w:val="fr-CA"/>
        </w:rPr>
      </w:pPr>
      <w:bookmarkStart w:id="4" w:name="_bookmark4"/>
      <w:bookmarkEnd w:id="4"/>
      <w:r w:rsidRPr="00994000">
        <w:rPr>
          <w:sz w:val="22"/>
          <w:lang w:val="fr-CA"/>
        </w:rPr>
        <w:t>Assurer l’accès à la justice pour les Ontariennes et Ontariens à faible revenu : Financer adéquatement Aide juridique Ontario</w:t>
      </w:r>
    </w:p>
    <w:p w14:paraId="5005EC26" w14:textId="77777777" w:rsidR="004A067D" w:rsidRPr="00994000" w:rsidRDefault="00E3418B" w:rsidP="00F358A2">
      <w:pPr>
        <w:pStyle w:val="BodyText"/>
        <w:spacing w:before="310" w:line="276" w:lineRule="auto"/>
        <w:ind w:left="100" w:right="595"/>
        <w:rPr>
          <w:sz w:val="22"/>
          <w:lang w:val="fr-CA"/>
        </w:rPr>
      </w:pPr>
      <w:r w:rsidRPr="00994000">
        <w:rPr>
          <w:sz w:val="22"/>
          <w:lang w:val="fr-CA"/>
        </w:rPr>
        <w:t>Le budget provincial de 2019 prévoyait une réduction de 30 % de la contribution de l’Ontario à Aide juridique Ontario (AJO). Cette réduction a eu des répercussions durables sur les services offerts aux Ontariennes et Ontariens. Les Ontariennes et Ontariens comptent sur un solide système d’aide juridique pour garantir l’accès à la justice à nos résidents les plus vulnérables. Avec moins de ressources, les tribunaux judiciaires et administratifs ralentissent presque jusqu’à l’arrêt, parce qu’un plus grand nombre de parties se représentent elles-mêmes.</w:t>
      </w:r>
    </w:p>
    <w:p w14:paraId="1387B365" w14:textId="0E8C0DE6" w:rsidR="004A067D" w:rsidRPr="00994000" w:rsidRDefault="00E3418B" w:rsidP="0001319D">
      <w:pPr>
        <w:pStyle w:val="BodyText"/>
        <w:spacing w:before="310" w:line="276" w:lineRule="auto"/>
        <w:ind w:left="100" w:right="350"/>
        <w:rPr>
          <w:sz w:val="22"/>
          <w:lang w:val="fr-CA"/>
        </w:rPr>
      </w:pPr>
      <w:r w:rsidRPr="00994000">
        <w:rPr>
          <w:sz w:val="22"/>
          <w:lang w:val="fr-CA"/>
        </w:rPr>
        <w:t>Le manque de financement de l’aide juridique crée de graves obstacles dans des tribunaux comme la Commission de la location immobilière (CLI) et le Tribunal de l’aide sociale. De nombreuses personnes ne peuvent pas présenter efficacement leur cause, ni même assister aux audiences, sans représentation, puisqu’elles ne disposent ni des compétences nécessaires en matière de défense de leurs droits ni des ressources financières requises.</w:t>
      </w:r>
      <w:r w:rsidR="00F358A2">
        <w:rPr>
          <w:sz w:val="22"/>
          <w:lang w:val="fr-CA"/>
        </w:rPr>
        <w:t xml:space="preserve"> </w:t>
      </w:r>
      <w:r w:rsidRPr="00994000">
        <w:rPr>
          <w:sz w:val="22"/>
          <w:lang w:val="fr-CA"/>
        </w:rPr>
        <w:t>Lorsque la stabilité des mesures de soutien de base en matière de logement et de revenu est en jeu, les coûts pour la société sont considérables. Cette crise touche de façon disproportionnée certaines populations socialement et matériellement défavorisées, notamment les ménages à faible revenu, les personnes âgées, les personnes en situation de handicap, les femmes et les enfants.</w:t>
      </w:r>
    </w:p>
    <w:p w14:paraId="27111305" w14:textId="77777777" w:rsidR="004A067D" w:rsidRPr="00994000" w:rsidRDefault="00E3418B" w:rsidP="00F358A2">
      <w:pPr>
        <w:pStyle w:val="BodyText"/>
        <w:spacing w:before="310" w:line="276" w:lineRule="auto"/>
        <w:ind w:left="100" w:right="634"/>
        <w:rPr>
          <w:sz w:val="22"/>
          <w:lang w:val="fr-CA"/>
        </w:rPr>
      </w:pPr>
      <w:r w:rsidRPr="00994000">
        <w:rPr>
          <w:sz w:val="22"/>
          <w:lang w:val="fr-CA"/>
        </w:rPr>
        <w:t>Outre une plus grande efficacité du système judiciaire, l’investissement dans l’aide juridique génère également des retombées économiques, sociales et sanitaires pour la société et pour les personnes qui utilisent ce système. Les études démontrent qu’1 $ investi dans l’aide juridique permet de générer une économie de 9 à 16 $ dans les services et programmes liés à la justice.</w:t>
      </w:r>
      <w:hyperlink w:anchor="_bookmark52" w:history="1">
        <w:r w:rsidRPr="00994000">
          <w:rPr>
            <w:sz w:val="22"/>
            <w:vertAlign w:val="superscript"/>
            <w:lang w:val="fr-CA"/>
          </w:rPr>
          <w:t xml:space="preserve">46 </w:t>
        </w:r>
      </w:hyperlink>
      <w:r w:rsidRPr="00994000">
        <w:rPr>
          <w:sz w:val="22"/>
          <w:lang w:val="fr-CA"/>
        </w:rPr>
        <w:t>Le budget d’Aide juridique Ontario (AJO) devrait être rétabli au moins à son niveau d’avant 2019 afin de garantir l’accès à la justice et de veiller au bon fonctionnement des instances judiciaires pour l’ensemble des résidents de l’Ontario.</w:t>
      </w:r>
    </w:p>
    <w:p w14:paraId="65C8DAE5" w14:textId="77777777" w:rsidR="004A067D" w:rsidRPr="00994000" w:rsidRDefault="00E3418B" w:rsidP="00F358A2">
      <w:pPr>
        <w:pStyle w:val="Heading2"/>
        <w:spacing w:before="310"/>
        <w:rPr>
          <w:sz w:val="22"/>
        </w:rPr>
      </w:pPr>
      <w:r w:rsidRPr="00994000">
        <w:rPr>
          <w:sz w:val="22"/>
          <w:lang w:val="fr-CA"/>
        </w:rPr>
        <w:t>Recommendation</w:t>
      </w:r>
      <w:r w:rsidRPr="00994000">
        <w:rPr>
          <w:b w:val="0"/>
          <w:bCs w:val="0"/>
          <w:sz w:val="22"/>
          <w:lang w:val="fr-CA"/>
        </w:rPr>
        <w:t> </w:t>
      </w:r>
      <w:r w:rsidRPr="00994000">
        <w:rPr>
          <w:sz w:val="22"/>
          <w:lang w:val="fr-CA"/>
        </w:rPr>
        <w:t>:</w:t>
      </w:r>
    </w:p>
    <w:p w14:paraId="65826C9D" w14:textId="77777777" w:rsidR="004A067D" w:rsidRPr="00994000" w:rsidRDefault="00E3418B">
      <w:pPr>
        <w:pStyle w:val="ListParagraph"/>
        <w:numPr>
          <w:ilvl w:val="0"/>
          <w:numId w:val="3"/>
        </w:numPr>
        <w:tabs>
          <w:tab w:val="left" w:pos="821"/>
        </w:tabs>
        <w:spacing w:before="42" w:line="273" w:lineRule="auto"/>
        <w:ind w:right="1033"/>
        <w:jc w:val="both"/>
        <w:rPr>
          <w:lang w:val="fr-CA"/>
        </w:rPr>
      </w:pPr>
      <w:r w:rsidRPr="00994000">
        <w:rPr>
          <w:lang w:val="fr-CA"/>
        </w:rPr>
        <w:t>Rétablir le budget d’Aide juridique Ontario à au moins son niveau antérieur à 2019 (rajusté en fonction de l’inflation) afin de garantir l’accès à la justice et d’assurer l’efficacité des processus judiciaires pour les personnes à faible revenu en Ontario.</w:t>
      </w:r>
    </w:p>
    <w:p w14:paraId="720C8969" w14:textId="77777777" w:rsidR="004A067D" w:rsidRPr="00994000" w:rsidRDefault="00E3418B" w:rsidP="00571B2A">
      <w:pPr>
        <w:pStyle w:val="Heading2"/>
        <w:numPr>
          <w:ilvl w:val="0"/>
          <w:numId w:val="2"/>
        </w:numPr>
        <w:tabs>
          <w:tab w:val="left" w:pos="527"/>
          <w:tab w:val="left" w:pos="528"/>
        </w:tabs>
        <w:spacing w:before="310" w:line="276" w:lineRule="auto"/>
        <w:ind w:left="527" w:right="712" w:hanging="428"/>
        <w:jc w:val="left"/>
        <w:rPr>
          <w:sz w:val="22"/>
          <w:vertAlign w:val="superscript"/>
          <w:lang w:val="fr-CA"/>
        </w:rPr>
      </w:pPr>
      <w:bookmarkStart w:id="5" w:name="_bookmark5"/>
      <w:bookmarkEnd w:id="5"/>
      <w:r w:rsidRPr="00994000">
        <w:rPr>
          <w:sz w:val="22"/>
          <w:lang w:val="fr-CA"/>
        </w:rPr>
        <w:t>S’attaquer aux coûts physiques et financiers que la crise climatique impose aux locataires</w:t>
      </w:r>
      <w:hyperlink w:anchor="_bookmark53" w:history="1">
        <w:r w:rsidRPr="00994000">
          <w:rPr>
            <w:sz w:val="22"/>
            <w:vertAlign w:val="superscript"/>
            <w:lang w:val="fr-CA"/>
          </w:rPr>
          <w:t>47</w:t>
        </w:r>
      </w:hyperlink>
    </w:p>
    <w:p w14:paraId="3728BE28" w14:textId="6F2E89C3" w:rsidR="004A067D" w:rsidRPr="00994000" w:rsidRDefault="00E3418B" w:rsidP="007D7AC8">
      <w:pPr>
        <w:pStyle w:val="BodyText"/>
        <w:spacing w:before="310" w:line="278" w:lineRule="auto"/>
        <w:ind w:left="100" w:right="748"/>
        <w:rPr>
          <w:sz w:val="22"/>
          <w:lang w:val="fr-CA"/>
        </w:rPr>
      </w:pPr>
      <w:r w:rsidRPr="00994000">
        <w:rPr>
          <w:sz w:val="22"/>
          <w:lang w:val="fr-CA"/>
        </w:rPr>
        <w:lastRenderedPageBreak/>
        <w:t>Selon la Loi sur la location à usage d’habitation (RTA), les locataires doivent avoir un accès ininterrompu aux services essentiels, mais ni le refroidissement ni la climatisation ne sont inclus dans la réglementation de la RTA. Il n’existe actuellement</w:t>
      </w:r>
      <w:r w:rsidR="00915949" w:rsidRPr="00994000">
        <w:rPr>
          <w:sz w:val="22"/>
          <w:lang w:val="fr-CA"/>
        </w:rPr>
        <w:t xml:space="preserve"> </w:t>
      </w:r>
      <w:r w:rsidRPr="00994000">
        <w:rPr>
          <w:sz w:val="22"/>
          <w:lang w:val="fr-CA"/>
        </w:rPr>
        <w:t>aucune norme juridique pour protéger la santé des locataires vulnérables. Nous demandons à la province de modifier la Loi sur la RTA afin d’y reconnaître l’accès à la climatisation comme un service essentiel. De plus, nous devons mieux consigner les décès liés à la chaleur, comme cela se fait en Colombie-Britannique</w:t>
      </w:r>
      <w:hyperlink w:anchor="_bookmark54" w:history="1">
        <w:r w:rsidRPr="00994000">
          <w:rPr>
            <w:sz w:val="22"/>
            <w:vertAlign w:val="superscript"/>
            <w:lang w:val="fr-CA"/>
          </w:rPr>
          <w:t>48</w:t>
        </w:r>
      </w:hyperlink>
    </w:p>
    <w:p w14:paraId="55F0A477" w14:textId="35AC3DB1" w:rsidR="004A067D" w:rsidRPr="00994000" w:rsidRDefault="00E3418B" w:rsidP="007D7AC8">
      <w:pPr>
        <w:pStyle w:val="BodyText"/>
        <w:spacing w:before="310" w:line="276" w:lineRule="auto"/>
        <w:ind w:left="100" w:right="1015"/>
        <w:rPr>
          <w:sz w:val="22"/>
          <w:lang w:val="fr-CA"/>
        </w:rPr>
      </w:pPr>
      <w:r w:rsidRPr="00994000">
        <w:rPr>
          <w:sz w:val="22"/>
          <w:lang w:val="fr-CA"/>
        </w:rPr>
        <w:t>Il faudrait créer des programmes fédéraux et provinciaux ciblés pour aider les propriétaires à respecter ces nouvelles exigences en matière de climatisation. Le financement provincial et fédéral des programmes de rénovation énergétique devrait prévoir explicitement des améliorations aux bâtiments afin d’y permettre la climatisation.</w:t>
      </w:r>
      <w:r w:rsidR="007D7AC8">
        <w:rPr>
          <w:sz w:val="22"/>
          <w:lang w:val="fr-CA"/>
        </w:rPr>
        <w:t xml:space="preserve"> </w:t>
      </w:r>
      <w:r w:rsidRPr="00994000">
        <w:rPr>
          <w:sz w:val="22"/>
          <w:lang w:val="fr-CA"/>
        </w:rPr>
        <w:t>À l’heure actuelle, il existe plusieurs programmes pour aider les propriétaires de grands immeubles à effectuer des rénovations écoénergétiques. Ces programmes devraient être élargis et ciblés vers les logements locatifs à faible revenu. Les programmes devraient prévoir explicitement des fonds pour des travaux de rénovation permettant la climatisation, en tant que mesure essentielle d’adaptation aux changements climatiques.</w:t>
      </w:r>
    </w:p>
    <w:p w14:paraId="05FF6F81" w14:textId="77777777" w:rsidR="004A067D" w:rsidRPr="00994000" w:rsidRDefault="00E3418B" w:rsidP="007D7AC8">
      <w:pPr>
        <w:pStyle w:val="BodyText"/>
        <w:spacing w:before="310" w:line="276" w:lineRule="auto"/>
        <w:ind w:left="100" w:right="601"/>
        <w:rPr>
          <w:sz w:val="22"/>
          <w:lang w:val="fr-CA"/>
        </w:rPr>
      </w:pPr>
      <w:r w:rsidRPr="00994000">
        <w:rPr>
          <w:sz w:val="22"/>
          <w:lang w:val="fr-CA"/>
        </w:rPr>
        <w:t>Le Programme ontarien d’aide aux coûts d’électricité (OESP) devrait tenir compte de toute hausse des coûts supportés par les locataires en raison de la climatisation. Les montants du crédit sur facture de l’OESP doivent être augmentés afin de tenir compte de la hausse de la consommation d’électricité nécessaire pour climatiser adéquatement les logements durant les mois d’été.</w:t>
      </w:r>
    </w:p>
    <w:p w14:paraId="50967F7C" w14:textId="77777777" w:rsidR="004A067D" w:rsidRPr="000A65D1" w:rsidRDefault="00E3418B" w:rsidP="007D7AC8">
      <w:pPr>
        <w:pStyle w:val="BodyText"/>
        <w:spacing w:before="310" w:line="276" w:lineRule="auto"/>
        <w:ind w:left="100" w:right="668"/>
        <w:rPr>
          <w:sz w:val="22"/>
          <w:vertAlign w:val="superscript"/>
          <w:lang w:val="fr-FR"/>
        </w:rPr>
      </w:pPr>
      <w:r w:rsidRPr="00994000">
        <w:rPr>
          <w:sz w:val="22"/>
          <w:lang w:val="fr-CA"/>
        </w:rPr>
        <w:t>Nous nous réjouissons du fait que le programme en cours « Save on Energy – Energy Affordability Program » continue d’offrir gratuitement des thermopompes aux ménages admissibles. Nous recommandons d’élargir ce programme afin d’inclure tous les ménages locataires, dans tous les types d’immeubles (à l’heure actuelle, seules les personnes vivant dans des maisons individuelles, jumelées, des duplex, triplex, maisons en rangée ou dans des logements sociaux de moins de trois étages peuvent présenter une demande), ainsi que les ménages locataires qui dépendent actuellement du gaz naturel, du propane, du mazout ou du bois comme sources d’énergie.</w:t>
      </w:r>
      <w:hyperlink w:anchor="_bookmark55" w:history="1">
        <w:r w:rsidRPr="00994000">
          <w:rPr>
            <w:sz w:val="22"/>
            <w:vertAlign w:val="superscript"/>
            <w:lang w:val="fr-CA"/>
          </w:rPr>
          <w:t>49</w:t>
        </w:r>
      </w:hyperlink>
    </w:p>
    <w:p w14:paraId="46559B0C" w14:textId="77777777" w:rsidR="004A067D" w:rsidRPr="00994000" w:rsidRDefault="00E3418B" w:rsidP="00D82C84">
      <w:pPr>
        <w:pStyle w:val="BodyText"/>
        <w:spacing w:before="310" w:line="276" w:lineRule="auto"/>
        <w:ind w:left="100" w:right="350"/>
        <w:rPr>
          <w:sz w:val="22"/>
          <w:lang w:val="fr-CA"/>
        </w:rPr>
      </w:pPr>
      <w:r w:rsidRPr="00994000">
        <w:rPr>
          <w:sz w:val="22"/>
          <w:lang w:val="fr-CA"/>
        </w:rPr>
        <w:t>L’Ontario devrait également créer un nouveau fonds d’urgence pour les locataires déplacés en raison de la crise climatique, que ce soit temporairement lors d’évaluations obligatoires ou à long terme lorsque les résidents perdent leur logement et leur communauté. Enfin, le gouvernement devrait instaurer une interdiction des coupures de services pendant l’été afin d’éviter que des personnes ne décèdent dans leur domicile lors des épisodes de chaleur extrême.</w:t>
      </w:r>
    </w:p>
    <w:p w14:paraId="2BE48BE5" w14:textId="77777777" w:rsidR="004A067D" w:rsidRPr="00994000" w:rsidRDefault="00E3418B" w:rsidP="007D7AC8">
      <w:pPr>
        <w:pStyle w:val="BodyText"/>
        <w:spacing w:before="310" w:line="276" w:lineRule="auto"/>
        <w:ind w:left="100" w:right="948"/>
        <w:rPr>
          <w:sz w:val="22"/>
          <w:lang w:val="fr-CA"/>
        </w:rPr>
      </w:pPr>
      <w:r w:rsidRPr="00994000">
        <w:rPr>
          <w:sz w:val="22"/>
          <w:lang w:val="fr-CA"/>
        </w:rPr>
        <w:t>Ces recommandations tiennent compte de l’aggravation de la crise climatique et des effets disproportionnés du stress et des vagues de chaleur extrême sur les populations vulnérables, notamment les personnes âgées, celles ayant des maladies chroniques ou des problèmes de mobilité, ainsi que celles qui sont défavorisées sur les plans social et matériel. De plus, nous appuyons les recommandations présentées dans la soumission budgétaire du Low Income Energy Network (LIEN).</w:t>
      </w:r>
    </w:p>
    <w:p w14:paraId="5CE5BD27" w14:textId="77777777" w:rsidR="004A067D" w:rsidRPr="00994000" w:rsidRDefault="00E3418B" w:rsidP="001E7647">
      <w:pPr>
        <w:pStyle w:val="Heading2"/>
        <w:spacing w:before="310"/>
        <w:rPr>
          <w:sz w:val="22"/>
        </w:rPr>
      </w:pPr>
      <w:r w:rsidRPr="00994000">
        <w:rPr>
          <w:sz w:val="22"/>
          <w:lang w:val="fr-CA"/>
        </w:rPr>
        <w:lastRenderedPageBreak/>
        <w:t>Recommandations</w:t>
      </w:r>
      <w:r w:rsidRPr="00994000">
        <w:rPr>
          <w:b w:val="0"/>
          <w:bCs w:val="0"/>
          <w:sz w:val="22"/>
          <w:lang w:val="fr-CA"/>
        </w:rPr>
        <w:t> </w:t>
      </w:r>
      <w:r w:rsidRPr="00994000">
        <w:rPr>
          <w:sz w:val="22"/>
          <w:lang w:val="fr-CA"/>
        </w:rPr>
        <w:t>:</w:t>
      </w:r>
    </w:p>
    <w:p w14:paraId="49059830" w14:textId="77777777" w:rsidR="004A067D" w:rsidRPr="00994000" w:rsidRDefault="00E3418B">
      <w:pPr>
        <w:pStyle w:val="ListParagraph"/>
        <w:numPr>
          <w:ilvl w:val="0"/>
          <w:numId w:val="3"/>
        </w:numPr>
        <w:tabs>
          <w:tab w:val="left" w:pos="820"/>
          <w:tab w:val="left" w:pos="821"/>
        </w:tabs>
        <w:spacing w:before="81" w:line="271" w:lineRule="auto"/>
        <w:ind w:right="1272"/>
        <w:rPr>
          <w:lang w:val="fr-CA"/>
        </w:rPr>
      </w:pPr>
      <w:r w:rsidRPr="00994000">
        <w:rPr>
          <w:lang w:val="fr-CA"/>
        </w:rPr>
        <w:t>Apporter des modifications à la Loi sur la location à usage d’habitation afin de garantir l’accès à la climatisation dans le cadre des services essentiels.</w:t>
      </w:r>
    </w:p>
    <w:p w14:paraId="76AC51A9" w14:textId="77777777" w:rsidR="004A067D" w:rsidRPr="00994000" w:rsidRDefault="00E3418B">
      <w:pPr>
        <w:pStyle w:val="ListParagraph"/>
        <w:numPr>
          <w:ilvl w:val="0"/>
          <w:numId w:val="3"/>
        </w:numPr>
        <w:tabs>
          <w:tab w:val="left" w:pos="820"/>
          <w:tab w:val="left" w:pos="821"/>
        </w:tabs>
        <w:spacing w:before="7"/>
        <w:ind w:hanging="361"/>
        <w:rPr>
          <w:lang w:val="fr-CA"/>
        </w:rPr>
      </w:pPr>
      <w:r w:rsidRPr="00994000">
        <w:rPr>
          <w:lang w:val="fr-CA"/>
        </w:rPr>
        <w:t>Assurer le suivi des décès liés à la chaleur, comme cela se fait en Colombie-Britannique.</w:t>
      </w:r>
    </w:p>
    <w:p w14:paraId="4BC5B3A2" w14:textId="77777777" w:rsidR="004A067D" w:rsidRPr="00994000" w:rsidRDefault="00E3418B">
      <w:pPr>
        <w:pStyle w:val="ListParagraph"/>
        <w:numPr>
          <w:ilvl w:val="0"/>
          <w:numId w:val="3"/>
        </w:numPr>
        <w:tabs>
          <w:tab w:val="left" w:pos="820"/>
          <w:tab w:val="left" w:pos="821"/>
        </w:tabs>
        <w:spacing w:before="39" w:line="271" w:lineRule="auto"/>
        <w:ind w:right="554"/>
        <w:rPr>
          <w:lang w:val="fr-CA"/>
        </w:rPr>
      </w:pPr>
      <w:r w:rsidRPr="00994000">
        <w:rPr>
          <w:lang w:val="fr-CA"/>
        </w:rPr>
        <w:t>Le Programme ontarien d’aide aux coûts d’électricité (OESP) devrait tenir compte de toute hausse des coûts supportés par les locataires en raison de la climatisation.</w:t>
      </w:r>
    </w:p>
    <w:p w14:paraId="7A8935C6" w14:textId="77777777" w:rsidR="004A067D" w:rsidRPr="00994000" w:rsidRDefault="00E3418B">
      <w:pPr>
        <w:pStyle w:val="ListParagraph"/>
        <w:numPr>
          <w:ilvl w:val="0"/>
          <w:numId w:val="3"/>
        </w:numPr>
        <w:tabs>
          <w:tab w:val="left" w:pos="820"/>
          <w:tab w:val="left" w:pos="821"/>
        </w:tabs>
        <w:spacing w:before="6"/>
        <w:ind w:hanging="361"/>
        <w:rPr>
          <w:lang w:val="fr-CA"/>
        </w:rPr>
      </w:pPr>
      <w:r w:rsidRPr="00994000">
        <w:rPr>
          <w:lang w:val="fr-CA"/>
        </w:rPr>
        <w:t>Élargir le programme « Save on Energy – Energy Affordability Program » (« Programme Économies d’énergie – Programme d’accessibilité à l’énergie ») afin que tous les ménages locataires,</w:t>
      </w:r>
    </w:p>
    <w:p w14:paraId="7CE0EAA8" w14:textId="77777777" w:rsidR="004A067D" w:rsidRPr="00994000" w:rsidRDefault="00E3418B">
      <w:pPr>
        <w:pStyle w:val="BodyText"/>
        <w:spacing w:before="39"/>
        <w:ind w:left="820"/>
        <w:rPr>
          <w:sz w:val="22"/>
          <w:lang w:val="fr-CA"/>
        </w:rPr>
      </w:pPr>
      <w:r w:rsidRPr="00994000">
        <w:rPr>
          <w:sz w:val="22"/>
          <w:lang w:val="fr-CA"/>
        </w:rPr>
        <w:t>dans tous les types de logements, aient accès gratuitement à des thermopompes.</w:t>
      </w:r>
    </w:p>
    <w:p w14:paraId="5B972771" w14:textId="77777777" w:rsidR="004A067D" w:rsidRPr="00994000" w:rsidRDefault="00E3418B">
      <w:pPr>
        <w:pStyle w:val="ListParagraph"/>
        <w:numPr>
          <w:ilvl w:val="0"/>
          <w:numId w:val="3"/>
        </w:numPr>
        <w:tabs>
          <w:tab w:val="left" w:pos="820"/>
          <w:tab w:val="left" w:pos="821"/>
        </w:tabs>
        <w:spacing w:before="44"/>
        <w:ind w:hanging="361"/>
        <w:rPr>
          <w:lang w:val="fr-CA"/>
        </w:rPr>
      </w:pPr>
      <w:r w:rsidRPr="00994000">
        <w:rPr>
          <w:lang w:val="fr-CA"/>
        </w:rPr>
        <w:t>Créer un nouveau fonds d’urgence pour les locataires déplacés par des crises climatiques.</w:t>
      </w:r>
    </w:p>
    <w:p w14:paraId="7A93CA39" w14:textId="77777777" w:rsidR="004A067D" w:rsidRPr="00994000" w:rsidRDefault="00E3418B" w:rsidP="001E7647">
      <w:pPr>
        <w:pStyle w:val="Heading2"/>
        <w:numPr>
          <w:ilvl w:val="0"/>
          <w:numId w:val="2"/>
        </w:numPr>
        <w:tabs>
          <w:tab w:val="left" w:pos="528"/>
        </w:tabs>
        <w:spacing w:before="360"/>
        <w:ind w:left="527" w:hanging="428"/>
        <w:jc w:val="left"/>
        <w:rPr>
          <w:sz w:val="22"/>
          <w:lang w:val="fr-CA"/>
        </w:rPr>
      </w:pPr>
      <w:bookmarkStart w:id="6" w:name="_bookmark6"/>
      <w:bookmarkEnd w:id="6"/>
      <w:r w:rsidRPr="00994000">
        <w:rPr>
          <w:sz w:val="22"/>
          <w:lang w:val="fr-CA"/>
        </w:rPr>
        <w:t>Combler les lacunes critiques en matière de données sur le logement</w:t>
      </w:r>
    </w:p>
    <w:p w14:paraId="3237D496" w14:textId="77777777" w:rsidR="004A067D" w:rsidRPr="00994000" w:rsidRDefault="00E3418B" w:rsidP="00F6301F">
      <w:pPr>
        <w:pStyle w:val="BodyText"/>
        <w:spacing w:before="310" w:line="276" w:lineRule="auto"/>
        <w:ind w:left="100" w:right="260"/>
        <w:rPr>
          <w:sz w:val="22"/>
          <w:lang w:val="fr-CA"/>
        </w:rPr>
      </w:pPr>
      <w:r w:rsidRPr="00994000">
        <w:rPr>
          <w:sz w:val="22"/>
          <w:lang w:val="fr-CA"/>
        </w:rPr>
        <w:t>Les progrès en matière de résultats liés au logement sont souvent freinés par d’importantes lacunes dans les données sur des sujets essentiels, comme les expulsions formelles et informelles (et les avis reçus par les locataires), le parc de logements locatifs abordables et les niveaux de loyer. Nous avons besoin d’un système centralisé qui recueille des données désagrégées pour repérer et soutenir les collectivités les plus touchées par les besoins en logement.</w:t>
      </w:r>
    </w:p>
    <w:p w14:paraId="046201D8" w14:textId="77777777" w:rsidR="004A067D" w:rsidRPr="00994000" w:rsidRDefault="00E3418B" w:rsidP="00BA055F">
      <w:pPr>
        <w:pStyle w:val="BodyText"/>
        <w:spacing w:before="310" w:line="276" w:lineRule="auto"/>
        <w:ind w:left="100" w:right="534"/>
        <w:rPr>
          <w:sz w:val="22"/>
          <w:lang w:val="fr-CA"/>
        </w:rPr>
      </w:pPr>
      <w:r w:rsidRPr="00994000">
        <w:rPr>
          <w:sz w:val="22"/>
          <w:lang w:val="fr-CA"/>
        </w:rPr>
        <w:t>L’Ontario ne dispose toujours pas d’un registre public et consultable des bénéficiaires effectifs qui permettrait de mettre en évidence les lacunes réglementaires en révélant qui détient réellement la propriété des immeubles locatifs construits à cette fin et des logements locatifs du marché secondaire.</w:t>
      </w:r>
    </w:p>
    <w:p w14:paraId="33C9427A" w14:textId="77777777" w:rsidR="004A067D" w:rsidRPr="00994000" w:rsidRDefault="00E3418B" w:rsidP="00BA055F">
      <w:pPr>
        <w:pStyle w:val="Heading2"/>
        <w:spacing w:before="310"/>
        <w:rPr>
          <w:sz w:val="22"/>
        </w:rPr>
      </w:pPr>
      <w:r w:rsidRPr="00994000">
        <w:rPr>
          <w:sz w:val="22"/>
          <w:lang w:val="fr-CA"/>
        </w:rPr>
        <w:t>Recommendation</w:t>
      </w:r>
      <w:r w:rsidRPr="00994000">
        <w:rPr>
          <w:b w:val="0"/>
          <w:bCs w:val="0"/>
          <w:sz w:val="22"/>
          <w:lang w:val="fr-CA"/>
        </w:rPr>
        <w:t> </w:t>
      </w:r>
      <w:r w:rsidRPr="00994000">
        <w:rPr>
          <w:sz w:val="22"/>
          <w:lang w:val="fr-CA"/>
        </w:rPr>
        <w:t>:</w:t>
      </w:r>
    </w:p>
    <w:p w14:paraId="4B081C3C" w14:textId="77777777" w:rsidR="004A067D" w:rsidRPr="00994000" w:rsidRDefault="00E3418B" w:rsidP="00B00AA1">
      <w:pPr>
        <w:pStyle w:val="ListParagraph"/>
        <w:numPr>
          <w:ilvl w:val="0"/>
          <w:numId w:val="3"/>
        </w:numPr>
        <w:tabs>
          <w:tab w:val="left" w:pos="820"/>
          <w:tab w:val="left" w:pos="821"/>
        </w:tabs>
        <w:spacing w:before="41" w:line="273" w:lineRule="auto"/>
        <w:ind w:right="440"/>
        <w:rPr>
          <w:lang w:val="fr-CA"/>
        </w:rPr>
      </w:pPr>
      <w:r w:rsidRPr="00994000">
        <w:rPr>
          <w:lang w:val="fr-CA"/>
        </w:rPr>
        <w:t>Créer un système centralisé qui recueille des données désagrégées et utilise des données à jour pour repérer et soutenir les collectivités les plus touchées par les besoins en logement, y compris un registre public et consultable des bénéficiaires effectifs.</w:t>
      </w:r>
    </w:p>
    <w:p w14:paraId="79DA57F4" w14:textId="77777777" w:rsidR="004A067D" w:rsidRPr="00994000" w:rsidRDefault="00E3418B" w:rsidP="00BA055F">
      <w:pPr>
        <w:pStyle w:val="Heading2"/>
        <w:numPr>
          <w:ilvl w:val="0"/>
          <w:numId w:val="2"/>
        </w:numPr>
        <w:tabs>
          <w:tab w:val="left" w:pos="528"/>
        </w:tabs>
        <w:spacing w:before="310"/>
        <w:ind w:left="527" w:hanging="428"/>
        <w:jc w:val="left"/>
        <w:rPr>
          <w:sz w:val="22"/>
        </w:rPr>
      </w:pPr>
      <w:r w:rsidRPr="00994000">
        <w:rPr>
          <w:sz w:val="22"/>
          <w:lang w:val="fr-CA"/>
        </w:rPr>
        <w:t>Redresser le système d’aide sociale</w:t>
      </w:r>
    </w:p>
    <w:p w14:paraId="1D88A29E" w14:textId="77777777" w:rsidR="004A067D" w:rsidRPr="00994000" w:rsidRDefault="00E3418B" w:rsidP="00BA055F">
      <w:pPr>
        <w:pStyle w:val="BodyText"/>
        <w:spacing w:before="310" w:line="276" w:lineRule="auto"/>
        <w:ind w:left="100" w:right="708"/>
        <w:rPr>
          <w:sz w:val="22"/>
          <w:vertAlign w:val="superscript"/>
          <w:lang w:val="fr-CA"/>
        </w:rPr>
      </w:pPr>
      <w:r w:rsidRPr="00994000">
        <w:rPr>
          <w:sz w:val="22"/>
          <w:lang w:val="fr-CA"/>
        </w:rPr>
        <w:t>La grande majorité des bénéficiaires de l’OT et du POSPH vivent sur le marché locatif privé. La prestation de logement versée au titre de l’aide sociale demeure très largement inférieure au coût réel du logement, ce qui oblige les prestataires à puiser dans la prestation destinée aux besoins essentiels pour payer leur loyer. Cependant, nous n’avons entendu parler d’aucun engagement de ce gouvernement à remédier à cette lacune reconnue, même si les prestations d’aide sociale sont aujourd’hui inférieures de 200 $ par mois à celles de 1995.</w:t>
      </w:r>
      <w:hyperlink w:anchor="_bookmark56" w:history="1">
        <w:r w:rsidRPr="00994000">
          <w:rPr>
            <w:sz w:val="22"/>
            <w:vertAlign w:val="superscript"/>
            <w:lang w:val="fr-CA"/>
          </w:rPr>
          <w:t xml:space="preserve">50 </w:t>
        </w:r>
      </w:hyperlink>
      <w:r w:rsidRPr="00994000">
        <w:rPr>
          <w:sz w:val="22"/>
          <w:lang w:val="fr-CA"/>
        </w:rPr>
        <w:t>Et cela, alors que le nombre de bénéficiaires de l’aide sociale confrontés à l’itinérance a doublé au cours des deux dernières années.</w:t>
      </w:r>
      <w:hyperlink w:anchor="_bookmark57" w:history="1">
        <w:r w:rsidRPr="00994000">
          <w:rPr>
            <w:sz w:val="22"/>
            <w:vertAlign w:val="superscript"/>
            <w:lang w:val="fr-CA"/>
          </w:rPr>
          <w:t>51</w:t>
        </w:r>
      </w:hyperlink>
    </w:p>
    <w:p w14:paraId="5625CF60" w14:textId="0D543D71" w:rsidR="004A067D" w:rsidRPr="00994000" w:rsidRDefault="00E3418B" w:rsidP="00B00AA1">
      <w:pPr>
        <w:pStyle w:val="BodyText"/>
        <w:spacing w:before="310" w:line="273" w:lineRule="auto"/>
        <w:ind w:left="100" w:right="350"/>
        <w:rPr>
          <w:sz w:val="22"/>
          <w:lang w:val="fr-CA"/>
        </w:rPr>
      </w:pPr>
      <w:r w:rsidRPr="00994000">
        <w:rPr>
          <w:sz w:val="22"/>
          <w:lang w:val="fr-CA"/>
        </w:rPr>
        <w:t>Le budget de 2026 doit prévoir des mesures visant à augmenter l’aide afin qu’elle suive le rythme des coûts du marché, puisque les taux maximaux actuels ne suffisent pas à couvrir les coûts de logement, encore moins les autres besoins essentiels.</w:t>
      </w:r>
      <w:hyperlink w:anchor="_bookmark58" w:history="1">
        <w:r w:rsidRPr="00994000">
          <w:rPr>
            <w:sz w:val="22"/>
            <w:vertAlign w:val="superscript"/>
            <w:lang w:val="fr-CA"/>
          </w:rPr>
          <w:t xml:space="preserve">52 </w:t>
        </w:r>
      </w:hyperlink>
      <w:r w:rsidRPr="00994000">
        <w:rPr>
          <w:sz w:val="22"/>
          <w:lang w:val="fr-CA"/>
        </w:rPr>
        <w:t xml:space="preserve">Le gouvernement devrait indexer Ontario </w:t>
      </w:r>
      <w:r w:rsidRPr="00994000">
        <w:rPr>
          <w:sz w:val="22"/>
          <w:lang w:val="fr-CA"/>
        </w:rPr>
        <w:lastRenderedPageBreak/>
        <w:t>au travail (OT) sur l’inflation et augmenter de manière significative les prestations d’OT ainsi que celles du Programme ontarien de soutien aux personnes handicapées (POSPH),</w:t>
      </w:r>
      <w:r w:rsidR="00915949" w:rsidRPr="00994000">
        <w:rPr>
          <w:sz w:val="22"/>
          <w:lang w:val="fr-CA"/>
        </w:rPr>
        <w:t xml:space="preserve"> </w:t>
      </w:r>
      <w:r w:rsidRPr="00994000">
        <w:rPr>
          <w:sz w:val="22"/>
          <w:lang w:val="fr-CA"/>
        </w:rPr>
        <w:t>afin que les bénéficiaires dépassent le seuil de pauvreté, avec un engagement contraignant de réduire d’au moins 50 % l’écart de pauvreté OT/POSPH d’ici 2030.</w:t>
      </w:r>
    </w:p>
    <w:p w14:paraId="7F54BBAE" w14:textId="77777777" w:rsidR="004A067D" w:rsidRPr="00994000" w:rsidRDefault="00E3418B" w:rsidP="00B00AA1">
      <w:pPr>
        <w:pStyle w:val="BodyText"/>
        <w:spacing w:before="310" w:line="276" w:lineRule="auto"/>
        <w:ind w:left="100" w:right="581"/>
        <w:rPr>
          <w:sz w:val="22"/>
          <w:lang w:val="fr-CA"/>
        </w:rPr>
      </w:pPr>
      <w:r w:rsidRPr="00994000">
        <w:rPr>
          <w:sz w:val="22"/>
          <w:lang w:val="fr-CA"/>
        </w:rPr>
        <w:t>De plus, le seuil d’exemption des gains pour Ontario au travail (OT) devrait être porté à au moins 1 000 $ par mois, la récupération des prestations du Programme ontarien de soutien aux personnes handicapées (POSPH) sur les revenus dépassant ce seuil devrait être réduite à 50 %, et cette exemption de 1 000 $ devrait être étendue aux conjoints non handicapés. De cette façon, les bénéficiaires de l’OT pourront effectuer une transition plus réaliste entre l’aide sociale et l’emploi. Ce changement protégera les ménages contre l’enfoncement accru dans la pauvreté lorsqu’un bénéficiaire du POSPH gagne un revenu supplémentaire ou lorsque son conjoint non handicapé travaille à temps plein.</w:t>
      </w:r>
    </w:p>
    <w:p w14:paraId="529C63E8" w14:textId="77777777" w:rsidR="004A067D" w:rsidRPr="000A65D1" w:rsidRDefault="00E3418B" w:rsidP="00B00AA1">
      <w:pPr>
        <w:pStyle w:val="BodyText"/>
        <w:spacing w:before="310" w:line="273" w:lineRule="auto"/>
        <w:ind w:left="100" w:right="1002"/>
        <w:rPr>
          <w:sz w:val="22"/>
          <w:vertAlign w:val="superscript"/>
          <w:lang w:val="fr-FR"/>
        </w:rPr>
      </w:pPr>
      <w:r w:rsidRPr="00994000">
        <w:rPr>
          <w:sz w:val="22"/>
          <w:lang w:val="fr-CA"/>
        </w:rPr>
        <w:t>Enfin, le gouvernement devrait mettre en place une structure forfaitaire équitable pour les programmes d’aide sociale. De nombreuses personnes sont empêchées de recevoir la prestation de logement, en particulier celles qui en ont le plus besoin. Cela inclut les personnes sans adresse fixe, celles vivant dans des logements LIR et celles vivant en pension ou en chambre et pension.</w:t>
      </w:r>
      <w:hyperlink w:anchor="_bookmark59" w:history="1">
        <w:r w:rsidRPr="00994000">
          <w:rPr>
            <w:sz w:val="22"/>
            <w:vertAlign w:val="superscript"/>
            <w:lang w:val="fr-CA"/>
          </w:rPr>
          <w:t>53</w:t>
        </w:r>
      </w:hyperlink>
    </w:p>
    <w:p w14:paraId="3F0571A7" w14:textId="77777777" w:rsidR="004A067D" w:rsidRPr="00994000" w:rsidRDefault="00E3418B" w:rsidP="00B00AA1">
      <w:pPr>
        <w:pStyle w:val="BodyText"/>
        <w:spacing w:before="310" w:line="276" w:lineRule="auto"/>
        <w:ind w:left="100" w:right="1469"/>
        <w:rPr>
          <w:sz w:val="22"/>
          <w:lang w:val="fr-CA"/>
        </w:rPr>
      </w:pPr>
      <w:r w:rsidRPr="00994000">
        <w:rPr>
          <w:sz w:val="22"/>
          <w:lang w:val="fr-CA"/>
        </w:rPr>
        <w:t xml:space="preserve">Pour plus de détails sur la manière de réformer les taux d’aide sociale, nous renvoyons à notre </w:t>
      </w:r>
      <w:hyperlink r:id="rId11">
        <w:r w:rsidRPr="00994000">
          <w:rPr>
            <w:color w:val="0000FF"/>
            <w:sz w:val="22"/>
            <w:u w:val="single"/>
            <w:lang w:val="fr-CA"/>
          </w:rPr>
          <w:t xml:space="preserve">mémoire </w:t>
        </w:r>
      </w:hyperlink>
      <w:r w:rsidRPr="00994000">
        <w:rPr>
          <w:sz w:val="22"/>
          <w:lang w:val="fr-CA"/>
        </w:rPr>
        <w:t>conjoint avec l’ISAC dans le cadre de la nouvelle stratégie quinquennale de réduction de la pauvreté de l’Ontario.</w:t>
      </w:r>
    </w:p>
    <w:p w14:paraId="66EF1939" w14:textId="77777777" w:rsidR="004A067D" w:rsidRPr="00994000" w:rsidRDefault="00E3418B" w:rsidP="00B00AA1">
      <w:pPr>
        <w:pStyle w:val="Heading2"/>
        <w:spacing w:before="310"/>
        <w:rPr>
          <w:sz w:val="22"/>
        </w:rPr>
      </w:pPr>
      <w:r w:rsidRPr="00994000">
        <w:rPr>
          <w:sz w:val="22"/>
          <w:lang w:val="fr-CA"/>
        </w:rPr>
        <w:t>Recommandations</w:t>
      </w:r>
      <w:r w:rsidRPr="00994000">
        <w:rPr>
          <w:b w:val="0"/>
          <w:bCs w:val="0"/>
          <w:sz w:val="22"/>
          <w:lang w:val="fr-CA"/>
        </w:rPr>
        <w:t> </w:t>
      </w:r>
      <w:r w:rsidRPr="00994000">
        <w:rPr>
          <w:sz w:val="22"/>
          <w:lang w:val="fr-CA"/>
        </w:rPr>
        <w:t>:</w:t>
      </w:r>
    </w:p>
    <w:p w14:paraId="7DA78B3A" w14:textId="77777777" w:rsidR="004A067D" w:rsidRPr="00994000" w:rsidRDefault="00E3418B">
      <w:pPr>
        <w:pStyle w:val="ListParagraph"/>
        <w:numPr>
          <w:ilvl w:val="0"/>
          <w:numId w:val="3"/>
        </w:numPr>
        <w:tabs>
          <w:tab w:val="left" w:pos="820"/>
          <w:tab w:val="left" w:pos="821"/>
        </w:tabs>
        <w:spacing w:before="42"/>
        <w:ind w:hanging="361"/>
        <w:rPr>
          <w:lang w:val="fr-CA"/>
        </w:rPr>
      </w:pPr>
      <w:r w:rsidRPr="00994000">
        <w:rPr>
          <w:lang w:val="fr-CA"/>
        </w:rPr>
        <w:t>Indexer les taux d’aide sociale sur l’inflation et les augmenter de manière significative.</w:t>
      </w:r>
    </w:p>
    <w:p w14:paraId="1F952303" w14:textId="77777777" w:rsidR="004A067D" w:rsidRPr="00994000" w:rsidRDefault="00E3418B">
      <w:pPr>
        <w:pStyle w:val="ListParagraph"/>
        <w:numPr>
          <w:ilvl w:val="0"/>
          <w:numId w:val="3"/>
        </w:numPr>
        <w:tabs>
          <w:tab w:val="left" w:pos="820"/>
          <w:tab w:val="left" w:pos="821"/>
        </w:tabs>
        <w:spacing w:before="39" w:line="271" w:lineRule="auto"/>
        <w:ind w:right="1156"/>
        <w:rPr>
          <w:lang w:val="fr-CA"/>
        </w:rPr>
      </w:pPr>
      <w:r w:rsidRPr="00994000">
        <w:rPr>
          <w:lang w:val="fr-CA"/>
        </w:rPr>
        <w:t>Augmenter à 1 000 $ le montant des gains mensuels exemptés pour les bénéficiaires de l’OT et pour les conjoints des bénéficiaires du POSPH.</w:t>
      </w:r>
    </w:p>
    <w:p w14:paraId="6A2BAAED" w14:textId="77777777" w:rsidR="004A067D" w:rsidRPr="00994000" w:rsidRDefault="00E3418B" w:rsidP="00B00AA1">
      <w:pPr>
        <w:pStyle w:val="BodyText"/>
        <w:spacing w:before="310" w:line="276" w:lineRule="auto"/>
        <w:ind w:left="100" w:right="841"/>
        <w:rPr>
          <w:sz w:val="22"/>
          <w:lang w:val="fr-CA"/>
        </w:rPr>
      </w:pPr>
      <w:r w:rsidRPr="00994000">
        <w:rPr>
          <w:sz w:val="22"/>
          <w:lang w:val="fr-CA"/>
        </w:rPr>
        <w:t>Une économie florissante et un avenir prospère pour l’Ontario dépendent du fait que chacun ait accès à un logement sûr et stable.</w:t>
      </w:r>
    </w:p>
    <w:p w14:paraId="171B2189" w14:textId="77777777" w:rsidR="00B00AA1" w:rsidRDefault="00E3418B" w:rsidP="00B00AA1">
      <w:pPr>
        <w:pStyle w:val="BodyText"/>
        <w:spacing w:before="310" w:line="271" w:lineRule="auto"/>
        <w:ind w:left="101" w:right="1901"/>
        <w:rPr>
          <w:sz w:val="22"/>
          <w:lang w:val="fr-CA"/>
        </w:rPr>
      </w:pPr>
      <w:r w:rsidRPr="00994000">
        <w:rPr>
          <w:sz w:val="22"/>
          <w:lang w:val="fr-CA"/>
        </w:rPr>
        <w:t xml:space="preserve">Nous vous remercions de l’attention que vous porterez à notre mémoire. </w:t>
      </w:r>
    </w:p>
    <w:p w14:paraId="28493CDC" w14:textId="75ECC3A9" w:rsidR="004A067D" w:rsidRPr="00994000" w:rsidRDefault="00E3418B" w:rsidP="00B00AA1">
      <w:pPr>
        <w:pStyle w:val="BodyText"/>
        <w:spacing w:before="310" w:line="271" w:lineRule="auto"/>
        <w:ind w:left="101" w:right="1901"/>
        <w:rPr>
          <w:sz w:val="22"/>
          <w:lang w:val="fr-CA"/>
        </w:rPr>
      </w:pPr>
      <w:r w:rsidRPr="00994000">
        <w:rPr>
          <w:sz w:val="22"/>
          <w:lang w:val="fr-CA"/>
        </w:rPr>
        <w:t>Je vous prie d’agréer l’expression de mes sentiments distingués,</w:t>
      </w:r>
    </w:p>
    <w:p w14:paraId="1CB099F1" w14:textId="77777777" w:rsidR="004A067D" w:rsidRPr="00994000" w:rsidRDefault="00E3418B">
      <w:pPr>
        <w:pStyle w:val="Heading2"/>
        <w:spacing w:line="243" w:lineRule="exact"/>
        <w:rPr>
          <w:sz w:val="22"/>
          <w:lang w:val="fr-CA"/>
        </w:rPr>
      </w:pPr>
      <w:r w:rsidRPr="00994000">
        <w:rPr>
          <w:sz w:val="22"/>
          <w:lang w:val="fr-CA"/>
        </w:rPr>
        <w:t>Le Centre ontarien de défense des droits des locataires</w:t>
      </w:r>
    </w:p>
    <w:p w14:paraId="3E0E7A1C" w14:textId="77777777" w:rsidR="004A067D" w:rsidRPr="00994000" w:rsidRDefault="00E3418B">
      <w:pPr>
        <w:pStyle w:val="BodyText"/>
        <w:spacing w:before="41"/>
        <w:ind w:left="100"/>
        <w:rPr>
          <w:sz w:val="22"/>
          <w:lang w:val="fr-CA"/>
        </w:rPr>
      </w:pPr>
      <w:r w:rsidRPr="00994000">
        <w:rPr>
          <w:sz w:val="22"/>
          <w:lang w:val="fr-CA"/>
        </w:rPr>
        <w:t>par :</w:t>
      </w:r>
    </w:p>
    <w:p w14:paraId="4C6F498E" w14:textId="77777777" w:rsidR="004A067D" w:rsidRPr="00E57569" w:rsidRDefault="00E3418B">
      <w:pPr>
        <w:pStyle w:val="BodyText"/>
        <w:spacing w:before="1"/>
        <w:rPr>
          <w:sz w:val="9"/>
          <w:lang w:val="fr-CA"/>
        </w:rPr>
      </w:pPr>
      <w:r>
        <w:rPr>
          <w:noProof/>
          <w:lang w:val="fr-CA"/>
        </w:rPr>
        <w:drawing>
          <wp:anchor distT="0" distB="0" distL="0" distR="0" simplePos="0" relativeHeight="251657216" behindDoc="0" locked="0" layoutInCell="1" allowOverlap="1" wp14:anchorId="57007A8D" wp14:editId="486A4B43">
            <wp:simplePos x="0" y="0"/>
            <wp:positionH relativeFrom="page">
              <wp:posOffset>976588</wp:posOffset>
            </wp:positionH>
            <wp:positionV relativeFrom="paragraph">
              <wp:posOffset>91501</wp:posOffset>
            </wp:positionV>
            <wp:extent cx="1680489" cy="603504"/>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680489" cy="603504"/>
                    </a:xfrm>
                    <a:prstGeom prst="rect">
                      <a:avLst/>
                    </a:prstGeom>
                  </pic:spPr>
                </pic:pic>
              </a:graphicData>
            </a:graphic>
          </wp:anchor>
        </w:drawing>
      </w:r>
    </w:p>
    <w:p w14:paraId="6465AE11" w14:textId="77777777" w:rsidR="004A067D" w:rsidRPr="00994000" w:rsidRDefault="00E3418B">
      <w:pPr>
        <w:pStyle w:val="BodyText"/>
        <w:spacing w:before="70"/>
        <w:ind w:left="100"/>
        <w:rPr>
          <w:sz w:val="22"/>
          <w:lang w:val="fr-CA"/>
        </w:rPr>
      </w:pPr>
      <w:r w:rsidRPr="00994000">
        <w:rPr>
          <w:sz w:val="22"/>
          <w:lang w:val="fr-CA"/>
        </w:rPr>
        <w:t>Douglas Kwan</w:t>
      </w:r>
    </w:p>
    <w:p w14:paraId="2BD3A814" w14:textId="77777777" w:rsidR="004A067D" w:rsidRPr="00994000" w:rsidRDefault="00E3418B">
      <w:pPr>
        <w:pStyle w:val="BodyText"/>
        <w:spacing w:before="41"/>
        <w:ind w:left="100"/>
        <w:rPr>
          <w:sz w:val="22"/>
          <w:lang w:val="fr-CA"/>
        </w:rPr>
      </w:pPr>
      <w:r w:rsidRPr="00994000">
        <w:rPr>
          <w:sz w:val="22"/>
          <w:lang w:val="fr-CA"/>
        </w:rPr>
        <w:t>Directeur de la défense des droits et des services juridiques</w:t>
      </w:r>
    </w:p>
    <w:p w14:paraId="4E6D9869" w14:textId="77777777" w:rsidR="004A067D" w:rsidRPr="00994000" w:rsidRDefault="00E3418B" w:rsidP="00B00AA1">
      <w:pPr>
        <w:pStyle w:val="BodyText"/>
        <w:spacing w:before="310"/>
        <w:ind w:left="100"/>
        <w:rPr>
          <w:sz w:val="22"/>
          <w:lang w:val="fr-CA"/>
        </w:rPr>
      </w:pPr>
      <w:r w:rsidRPr="00994000">
        <w:rPr>
          <w:sz w:val="22"/>
          <w:lang w:val="fr-CA"/>
        </w:rPr>
        <w:t>c.c. L’honorable Rob Flack, ministre des Affaires municipales et du Logement</w:t>
      </w:r>
    </w:p>
    <w:p w14:paraId="5D7CD879" w14:textId="77777777" w:rsidR="004A067D" w:rsidRPr="00E57569" w:rsidRDefault="004A067D">
      <w:pPr>
        <w:rPr>
          <w:lang w:val="fr-CA"/>
        </w:rPr>
        <w:sectPr w:rsidR="004A067D" w:rsidRPr="00E57569" w:rsidSect="0028413C">
          <w:pgSz w:w="12240" w:h="15840"/>
          <w:pgMar w:top="1360" w:right="920" w:bottom="1160" w:left="1340" w:header="0" w:footer="969" w:gutter="0"/>
          <w:cols w:space="720"/>
        </w:sectPr>
      </w:pPr>
    </w:p>
    <w:p w14:paraId="19897C1E" w14:textId="77777777" w:rsidR="004A067D" w:rsidRPr="00994000" w:rsidRDefault="00E3418B">
      <w:pPr>
        <w:pStyle w:val="BodyText"/>
        <w:spacing w:before="81"/>
        <w:ind w:left="100"/>
        <w:rPr>
          <w:sz w:val="22"/>
          <w:lang w:val="fr-CA"/>
        </w:rPr>
      </w:pPr>
      <w:r w:rsidRPr="00994000">
        <w:rPr>
          <w:sz w:val="22"/>
          <w:lang w:val="fr-CA"/>
        </w:rPr>
        <w:lastRenderedPageBreak/>
        <w:t>c.c. L’honorable Doug Downey, Procureur général pour l’Ontario</w:t>
      </w:r>
    </w:p>
    <w:p w14:paraId="4A6B3C6D" w14:textId="77777777" w:rsidR="004A067D" w:rsidRPr="00994000" w:rsidRDefault="00E3418B">
      <w:pPr>
        <w:pStyle w:val="BodyText"/>
        <w:spacing w:before="40"/>
        <w:ind w:left="100"/>
        <w:rPr>
          <w:sz w:val="22"/>
          <w:lang w:val="fr-CA"/>
        </w:rPr>
      </w:pPr>
      <w:r w:rsidRPr="00994000">
        <w:rPr>
          <w:sz w:val="22"/>
          <w:lang w:val="fr-CA"/>
        </w:rPr>
        <w:t>c.c. Jessica Bell, porte-parole en matière de finances</w:t>
      </w:r>
    </w:p>
    <w:p w14:paraId="0EF9FDEA" w14:textId="77777777" w:rsidR="004A067D" w:rsidRPr="00994000" w:rsidRDefault="00E3418B">
      <w:pPr>
        <w:pStyle w:val="BodyText"/>
        <w:spacing w:before="41"/>
        <w:ind w:left="100"/>
        <w:rPr>
          <w:sz w:val="22"/>
          <w:lang w:val="fr-CA"/>
        </w:rPr>
      </w:pPr>
      <w:r w:rsidRPr="00994000">
        <w:rPr>
          <w:sz w:val="22"/>
          <w:lang w:val="fr-CA"/>
        </w:rPr>
        <w:t>c.c. Jeff Burch, porte-parole en matière d’affaires municipales</w:t>
      </w:r>
    </w:p>
    <w:p w14:paraId="278EA518" w14:textId="77777777" w:rsidR="004A067D" w:rsidRPr="00994000" w:rsidRDefault="00E3418B">
      <w:pPr>
        <w:pStyle w:val="BodyText"/>
        <w:spacing w:before="43"/>
        <w:ind w:left="100"/>
        <w:rPr>
          <w:sz w:val="22"/>
          <w:lang w:val="fr-CA"/>
        </w:rPr>
      </w:pPr>
      <w:r w:rsidRPr="00994000">
        <w:rPr>
          <w:sz w:val="22"/>
          <w:lang w:val="fr-CA"/>
        </w:rPr>
        <w:t>c.c. Catherine McKenney, porte-parole en matière de logement</w:t>
      </w:r>
    </w:p>
    <w:p w14:paraId="26604E35" w14:textId="77777777" w:rsidR="004A067D" w:rsidRPr="00994000" w:rsidRDefault="00E3418B">
      <w:pPr>
        <w:pStyle w:val="BodyText"/>
        <w:spacing w:before="41"/>
        <w:ind w:left="100"/>
        <w:rPr>
          <w:sz w:val="22"/>
          <w:lang w:val="fr-CA"/>
        </w:rPr>
      </w:pPr>
      <w:r w:rsidRPr="00994000">
        <w:rPr>
          <w:sz w:val="22"/>
          <w:lang w:val="fr-CA"/>
        </w:rPr>
        <w:t>c.c. Kristyn Wong-Tam, porte-parole du procureur général</w:t>
      </w:r>
    </w:p>
    <w:p w14:paraId="57A4FB7A" w14:textId="77777777" w:rsidR="004A067D" w:rsidRPr="00E57569" w:rsidRDefault="004A067D">
      <w:pPr>
        <w:pStyle w:val="BodyText"/>
        <w:rPr>
          <w:sz w:val="20"/>
          <w:lang w:val="fr-CA"/>
        </w:rPr>
      </w:pPr>
    </w:p>
    <w:p w14:paraId="6F50684F" w14:textId="77777777" w:rsidR="004A067D" w:rsidRPr="00E57569" w:rsidRDefault="004A067D">
      <w:pPr>
        <w:pStyle w:val="BodyText"/>
        <w:rPr>
          <w:sz w:val="20"/>
          <w:lang w:val="fr-CA"/>
        </w:rPr>
      </w:pPr>
    </w:p>
    <w:p w14:paraId="7ABE9B9A" w14:textId="77777777" w:rsidR="004A067D" w:rsidRPr="00E57569" w:rsidRDefault="00103801">
      <w:pPr>
        <w:pStyle w:val="BodyText"/>
        <w:spacing w:before="1"/>
        <w:rPr>
          <w:sz w:val="27"/>
          <w:lang w:val="fr-CA"/>
        </w:rPr>
      </w:pPr>
      <w:r>
        <w:rPr>
          <w:lang w:val="fr-CA"/>
        </w:rPr>
        <w:pict w14:anchorId="30D63397">
          <v:shape id="_x0000_s2054" style="position:absolute;margin-left:1in;margin-top:17.8pt;width:144.05pt;height:.1pt;z-index:-251650048;mso-wrap-distance-left:0;mso-wrap-distance-right:0;mso-position-horizontal-relative:page" coordorigin="1440,356" coordsize="2881,0" path="m1440,356r2881,e" filled="f" strokeweight=".48pt">
            <v:path arrowok="t"/>
            <w10:wrap type="topAndBottom" anchorx="page"/>
          </v:shape>
        </w:pict>
      </w:r>
    </w:p>
    <w:p w14:paraId="53D66BA7" w14:textId="77777777" w:rsidR="00CA13B6" w:rsidRDefault="00CA13B6" w:rsidP="00CA13B6">
      <w:pPr>
        <w:spacing w:before="50"/>
        <w:ind w:left="100" w:right="976"/>
        <w:rPr>
          <w:rFonts w:ascii="Times New Roman"/>
          <w:sz w:val="18"/>
        </w:rPr>
      </w:pPr>
      <w:bookmarkStart w:id="7" w:name="_bookmark7"/>
      <w:bookmarkEnd w:id="7"/>
      <w:r>
        <w:rPr>
          <w:rFonts w:ascii="Times New Roman"/>
          <w:position w:val="6"/>
          <w:sz w:val="12"/>
        </w:rPr>
        <w:t xml:space="preserve">1 </w:t>
      </w:r>
      <w:r>
        <w:rPr>
          <w:rFonts w:ascii="Times New Roman"/>
          <w:sz w:val="18"/>
        </w:rPr>
        <w:t xml:space="preserve">Statistics Canada. (2022). Core housing need by tenure including presence of mortgage payments and subsidized housing: Canada, provinces and territories, census metropolitan areas and census agglomerations. Ottawa: Statistics Canada. </w:t>
      </w:r>
      <w:hyperlink r:id="rId13">
        <w:r>
          <w:rPr>
            <w:rFonts w:ascii="Times New Roman"/>
            <w:color w:val="0000FF"/>
            <w:sz w:val="18"/>
            <w:u w:val="single" w:color="0000FF"/>
          </w:rPr>
          <w:t>https://www150.statcan.gc.ca/t1/tbl1/en/tv.action?pid=9810024801</w:t>
        </w:r>
      </w:hyperlink>
    </w:p>
    <w:p w14:paraId="63ECBF21" w14:textId="77777777" w:rsidR="00CA13B6" w:rsidRDefault="00CA13B6" w:rsidP="00CA13B6">
      <w:pPr>
        <w:spacing w:line="205" w:lineRule="exact"/>
        <w:ind w:left="100"/>
        <w:rPr>
          <w:rFonts w:ascii="Times New Roman"/>
          <w:sz w:val="18"/>
        </w:rPr>
      </w:pPr>
      <w:bookmarkStart w:id="8" w:name="_bookmark8"/>
      <w:bookmarkEnd w:id="8"/>
      <w:r>
        <w:rPr>
          <w:rFonts w:ascii="Times New Roman"/>
          <w:position w:val="6"/>
          <w:sz w:val="12"/>
        </w:rPr>
        <w:t xml:space="preserve">2 </w:t>
      </w:r>
      <w:r>
        <w:rPr>
          <w:rFonts w:ascii="Times New Roman"/>
          <w:sz w:val="18"/>
        </w:rPr>
        <w:t xml:space="preserve">Rentals.ca November 2025 Rent Report. </w:t>
      </w:r>
      <w:hyperlink r:id="rId14">
        <w:r>
          <w:rPr>
            <w:rFonts w:ascii="Times New Roman"/>
            <w:color w:val="0000FF"/>
            <w:sz w:val="18"/>
            <w:u w:val="single" w:color="0000FF"/>
          </w:rPr>
          <w:t>https://rentals.ca/national-rent-report</w:t>
        </w:r>
      </w:hyperlink>
    </w:p>
    <w:p w14:paraId="0C6D508C" w14:textId="77777777" w:rsidR="00CA13B6" w:rsidRDefault="00CA13B6" w:rsidP="00CA13B6">
      <w:pPr>
        <w:ind w:left="100" w:right="578"/>
        <w:rPr>
          <w:rFonts w:ascii="Times New Roman" w:hAnsi="Times New Roman"/>
          <w:sz w:val="18"/>
        </w:rPr>
      </w:pPr>
      <w:bookmarkStart w:id="9" w:name="_bookmark9"/>
      <w:bookmarkEnd w:id="9"/>
      <w:r>
        <w:rPr>
          <w:rFonts w:ascii="Times New Roman" w:hAnsi="Times New Roman"/>
          <w:position w:val="6"/>
          <w:sz w:val="12"/>
        </w:rPr>
        <w:t xml:space="preserve">3 </w:t>
      </w:r>
      <w:r>
        <w:rPr>
          <w:rFonts w:ascii="Times New Roman" w:hAnsi="Times New Roman"/>
          <w:sz w:val="18"/>
        </w:rPr>
        <w:t xml:space="preserve">Donaldson, J., Kandyba, L., Wang, D. (2026). Municipalities Under Pressure One Year Later: An Update on the Human and Financial Cost of Ontario’s Homelessness Crisis. HelpSeeker. </w:t>
      </w:r>
      <w:hyperlink r:id="rId15">
        <w:r>
          <w:rPr>
            <w:rFonts w:ascii="Times New Roman" w:hAnsi="Times New Roman"/>
            <w:color w:val="0000FF"/>
            <w:sz w:val="18"/>
            <w:u w:val="single" w:color="0000FF"/>
          </w:rPr>
          <w:t>https://www.amo.on.ca/sites/default/files/assets/DOCUMENTS/Reports/2026/MunisUnderPressure1YearUpdateReport2026-01-</w:t>
        </w:r>
      </w:hyperlink>
      <w:r>
        <w:rPr>
          <w:rFonts w:ascii="Times New Roman" w:hAnsi="Times New Roman"/>
          <w:color w:val="0000FF"/>
          <w:sz w:val="18"/>
        </w:rPr>
        <w:t xml:space="preserve"> </w:t>
      </w:r>
      <w:hyperlink r:id="rId16">
        <w:r>
          <w:rPr>
            <w:rFonts w:ascii="Times New Roman" w:hAnsi="Times New Roman"/>
            <w:color w:val="0000FF"/>
            <w:sz w:val="18"/>
            <w:u w:val="single" w:color="0000FF"/>
          </w:rPr>
          <w:t>13.pdf</w:t>
        </w:r>
      </w:hyperlink>
    </w:p>
    <w:p w14:paraId="58B7D27D" w14:textId="77777777" w:rsidR="00CA13B6" w:rsidRDefault="00CA13B6" w:rsidP="00CA13B6">
      <w:pPr>
        <w:ind w:left="100" w:right="727"/>
        <w:rPr>
          <w:rFonts w:ascii="Times New Roman" w:hAnsi="Times New Roman"/>
          <w:sz w:val="18"/>
        </w:rPr>
      </w:pPr>
      <w:r>
        <w:rPr>
          <w:rFonts w:ascii="Times New Roman" w:hAnsi="Times New Roman"/>
          <w:sz w:val="18"/>
        </w:rPr>
        <w:t xml:space="preserve">Donaldson, J., Wang, D., Escamilla, C., and Turner, A. (2025). Municipalities under pressure: The human and financial cost of Ontario’s homelessness crisis. HelpSeeker, in partnership with Association of Municipalities of Ontario (AMO), the Ontario Municipal Social Services Association (OMSSA), and the Northern Ontario Service Deliverers Association (NOSDA). </w:t>
      </w:r>
      <w:hyperlink r:id="rId17">
        <w:r>
          <w:rPr>
            <w:rFonts w:ascii="Times New Roman" w:hAnsi="Times New Roman"/>
            <w:color w:val="0000FF"/>
            <w:sz w:val="18"/>
            <w:u w:val="single" w:color="0000FF"/>
          </w:rPr>
          <w:t>https://www.amo.on.ca/sites/default/files/assets/DOCUMENTS/Reports/2025/2025-01-08-</w:t>
        </w:r>
      </w:hyperlink>
      <w:r>
        <w:rPr>
          <w:rFonts w:ascii="Times New Roman" w:hAnsi="Times New Roman"/>
          <w:color w:val="0000FF"/>
          <w:sz w:val="18"/>
        </w:rPr>
        <w:t xml:space="preserve"> </w:t>
      </w:r>
      <w:hyperlink r:id="rId18">
        <w:r>
          <w:rPr>
            <w:rFonts w:ascii="Times New Roman" w:hAnsi="Times New Roman"/>
            <w:color w:val="0000FF"/>
            <w:sz w:val="18"/>
            <w:u w:val="single" w:color="0000FF"/>
          </w:rPr>
          <w:t>EndingChronicHomelessnessinOntario.pdf</w:t>
        </w:r>
      </w:hyperlink>
    </w:p>
    <w:p w14:paraId="1F12F821" w14:textId="77777777" w:rsidR="00CA13B6" w:rsidRDefault="00CA13B6" w:rsidP="00CA13B6">
      <w:pPr>
        <w:spacing w:line="207" w:lineRule="exact"/>
        <w:ind w:left="100"/>
        <w:rPr>
          <w:rFonts w:ascii="Times New Roman"/>
          <w:sz w:val="18"/>
        </w:rPr>
      </w:pPr>
      <w:bookmarkStart w:id="10" w:name="_bookmark10"/>
      <w:bookmarkEnd w:id="10"/>
      <w:r>
        <w:rPr>
          <w:rFonts w:ascii="Times New Roman"/>
          <w:position w:val="6"/>
          <w:sz w:val="12"/>
        </w:rPr>
        <w:t xml:space="preserve">4 </w:t>
      </w:r>
      <w:r>
        <w:rPr>
          <w:rFonts w:ascii="Times New Roman"/>
          <w:sz w:val="18"/>
        </w:rPr>
        <w:t>Ibid.</w:t>
      </w:r>
    </w:p>
    <w:p w14:paraId="35C5C0FD" w14:textId="77777777" w:rsidR="00CA13B6" w:rsidRDefault="00CA13B6" w:rsidP="00CA13B6">
      <w:pPr>
        <w:ind w:left="100" w:right="540"/>
        <w:jc w:val="both"/>
        <w:rPr>
          <w:rFonts w:ascii="Times New Roman" w:hAnsi="Times New Roman"/>
          <w:i/>
          <w:sz w:val="18"/>
        </w:rPr>
      </w:pPr>
      <w:bookmarkStart w:id="11" w:name="_bookmark11"/>
      <w:bookmarkEnd w:id="11"/>
      <w:r>
        <w:rPr>
          <w:rFonts w:ascii="Times New Roman" w:hAnsi="Times New Roman"/>
          <w:position w:val="6"/>
          <w:sz w:val="12"/>
        </w:rPr>
        <w:t xml:space="preserve">5 </w:t>
      </w:r>
      <w:r>
        <w:rPr>
          <w:rFonts w:ascii="Times New Roman" w:hAnsi="Times New Roman"/>
          <w:sz w:val="18"/>
        </w:rPr>
        <w:t xml:space="preserve">Pinkerton, C. (Aug 26, 2024). The Ford government says its data was botched — so how many people are homeless in Ontario? </w:t>
      </w:r>
      <w:r>
        <w:rPr>
          <w:rFonts w:ascii="Times New Roman" w:hAnsi="Times New Roman"/>
          <w:i/>
          <w:sz w:val="18"/>
        </w:rPr>
        <w:t xml:space="preserve">The Trillium. </w:t>
      </w:r>
      <w:hyperlink r:id="rId19">
        <w:r>
          <w:rPr>
            <w:rFonts w:ascii="Times New Roman" w:hAnsi="Times New Roman"/>
            <w:i/>
            <w:color w:val="0000FF"/>
            <w:sz w:val="18"/>
            <w:u w:val="single" w:color="0000FF"/>
          </w:rPr>
          <w:t>https://www.thetrillium.ca/news/housing/the-ford-government-says-its-data-was-botched-so-how-many-people-are-</w:t>
        </w:r>
      </w:hyperlink>
      <w:r>
        <w:rPr>
          <w:rFonts w:ascii="Times New Roman" w:hAnsi="Times New Roman"/>
          <w:i/>
          <w:color w:val="0000FF"/>
          <w:sz w:val="18"/>
        </w:rPr>
        <w:t xml:space="preserve"> </w:t>
      </w:r>
      <w:hyperlink r:id="rId20">
        <w:r>
          <w:rPr>
            <w:rFonts w:ascii="Times New Roman" w:hAnsi="Times New Roman"/>
            <w:i/>
            <w:color w:val="0000FF"/>
            <w:sz w:val="18"/>
            <w:u w:val="single" w:color="0000FF"/>
          </w:rPr>
          <w:t>homeless-in-ontario-9435686</w:t>
        </w:r>
      </w:hyperlink>
    </w:p>
    <w:p w14:paraId="7E8969D2" w14:textId="77777777" w:rsidR="00CA13B6" w:rsidRDefault="00CA13B6" w:rsidP="00CA13B6">
      <w:pPr>
        <w:spacing w:line="205" w:lineRule="exact"/>
        <w:ind w:left="100"/>
        <w:jc w:val="both"/>
        <w:rPr>
          <w:rFonts w:ascii="Times New Roman"/>
          <w:sz w:val="18"/>
        </w:rPr>
      </w:pPr>
      <w:bookmarkStart w:id="12" w:name="_bookmark12"/>
      <w:bookmarkEnd w:id="12"/>
      <w:r>
        <w:rPr>
          <w:rFonts w:ascii="Times New Roman"/>
          <w:position w:val="6"/>
          <w:sz w:val="12"/>
        </w:rPr>
        <w:t xml:space="preserve">6 </w:t>
      </w:r>
      <w:r>
        <w:rPr>
          <w:rFonts w:ascii="Times New Roman"/>
          <w:sz w:val="18"/>
        </w:rPr>
        <w:t>Ibid.</w:t>
      </w:r>
    </w:p>
    <w:p w14:paraId="78AD9B2A" w14:textId="77777777" w:rsidR="00CA13B6" w:rsidRDefault="00CA13B6" w:rsidP="00CA13B6">
      <w:pPr>
        <w:ind w:left="100" w:right="508"/>
        <w:rPr>
          <w:rFonts w:ascii="Times New Roman"/>
          <w:sz w:val="18"/>
        </w:rPr>
      </w:pPr>
      <w:bookmarkStart w:id="13" w:name="_bookmark13"/>
      <w:bookmarkEnd w:id="13"/>
      <w:r>
        <w:rPr>
          <w:rFonts w:ascii="Times New Roman"/>
          <w:position w:val="6"/>
          <w:sz w:val="12"/>
        </w:rPr>
        <w:t xml:space="preserve">7 </w:t>
      </w:r>
      <w:r>
        <w:rPr>
          <w:rFonts w:ascii="Times New Roman"/>
          <w:sz w:val="18"/>
        </w:rPr>
        <w:t xml:space="preserve">Statistics Canada. (2024). After-tax </w:t>
      </w:r>
      <w:proofErr w:type="gramStart"/>
      <w:r>
        <w:rPr>
          <w:rFonts w:ascii="Times New Roman"/>
          <w:sz w:val="18"/>
        </w:rPr>
        <w:t>low income</w:t>
      </w:r>
      <w:proofErr w:type="gramEnd"/>
      <w:r>
        <w:rPr>
          <w:rFonts w:ascii="Times New Roman"/>
          <w:sz w:val="18"/>
        </w:rPr>
        <w:t xml:space="preserve"> status of tax filers and dependants based on Census Family Low Income Measure (CFLIM-AT), by family type and family type composition. Ottawa: Statistics Canada. </w:t>
      </w:r>
      <w:hyperlink r:id="rId21">
        <w:r>
          <w:rPr>
            <w:rFonts w:ascii="Times New Roman"/>
            <w:color w:val="0000FF"/>
            <w:sz w:val="18"/>
            <w:u w:val="single" w:color="0000FF"/>
          </w:rPr>
          <w:t>https://www150.statcan.gc.ca/t1/tbl1/en/cv!recreate.action?pid=1110001801&amp;selectedNodeIds=1D2,1D10,1D14,1D21,1D31,1D</w:t>
        </w:r>
      </w:hyperlink>
      <w:r>
        <w:rPr>
          <w:rFonts w:ascii="Times New Roman"/>
          <w:color w:val="0000FF"/>
          <w:sz w:val="18"/>
        </w:rPr>
        <w:t xml:space="preserve"> </w:t>
      </w:r>
      <w:hyperlink r:id="rId22">
        <w:r>
          <w:rPr>
            <w:rFonts w:ascii="Times New Roman"/>
            <w:color w:val="0000FF"/>
            <w:sz w:val="18"/>
            <w:u w:val="single" w:color="0000FF"/>
          </w:rPr>
          <w:t>66,1D116,1D123,1D134,1D154,1D184,1D187,1D190,5D1,5D2&amp;checkedLevels=0D1,1D1,2D1,3D1&amp;refPeriods=20180101,202</w:t>
        </w:r>
      </w:hyperlink>
    </w:p>
    <w:p w14:paraId="3726A075" w14:textId="77777777" w:rsidR="00CA13B6" w:rsidRDefault="00CA13B6" w:rsidP="00CA13B6">
      <w:pPr>
        <w:spacing w:line="205" w:lineRule="exact"/>
        <w:ind w:left="100"/>
        <w:rPr>
          <w:rFonts w:ascii="Times New Roman"/>
          <w:sz w:val="18"/>
        </w:rPr>
      </w:pPr>
      <w:hyperlink r:id="rId23">
        <w:r>
          <w:rPr>
            <w:rFonts w:ascii="Times New Roman"/>
            <w:color w:val="0000FF"/>
            <w:sz w:val="18"/>
            <w:u w:val="single" w:color="0000FF"/>
          </w:rPr>
          <w:t>20101&amp;dimensionLayouts=layout3,layout3,layout2,layout2,layout3,layout2&amp;vectorDisplay=false</w:t>
        </w:r>
      </w:hyperlink>
    </w:p>
    <w:p w14:paraId="5FE66844" w14:textId="77777777" w:rsidR="00CA13B6" w:rsidRDefault="00CA13B6" w:rsidP="00CA13B6">
      <w:pPr>
        <w:ind w:left="100" w:right="669"/>
        <w:rPr>
          <w:rFonts w:ascii="Times New Roman"/>
          <w:sz w:val="18"/>
        </w:rPr>
      </w:pPr>
      <w:bookmarkStart w:id="14" w:name="_bookmark14"/>
      <w:bookmarkEnd w:id="14"/>
      <w:r>
        <w:rPr>
          <w:rFonts w:ascii="Times New Roman"/>
          <w:position w:val="6"/>
          <w:sz w:val="12"/>
        </w:rPr>
        <w:t xml:space="preserve">8 </w:t>
      </w:r>
      <w:r>
        <w:rPr>
          <w:rFonts w:ascii="Times New Roman"/>
          <w:sz w:val="18"/>
        </w:rPr>
        <w:t xml:space="preserve">Advocacy Centre for Tenants Ontario (ACTO). (2022). A new poll shows the majority of Ontario renters are having to choose between food and paying their rents. When it comes to housing affordability, this province is on fire. Toronto: ACTO. </w:t>
      </w:r>
      <w:hyperlink r:id="rId24">
        <w:r>
          <w:rPr>
            <w:rFonts w:ascii="Times New Roman"/>
            <w:color w:val="0000FF"/>
            <w:sz w:val="18"/>
            <w:u w:val="single" w:color="0000FF"/>
          </w:rPr>
          <w:t>https://www.acto.ca/a-new-poll-shows-the-majority-of-ontario-renters-are-having-to-choose-between-food-and-paying-their-</w:t>
        </w:r>
      </w:hyperlink>
      <w:r>
        <w:rPr>
          <w:rFonts w:ascii="Times New Roman"/>
          <w:color w:val="0000FF"/>
          <w:sz w:val="18"/>
        </w:rPr>
        <w:t xml:space="preserve"> </w:t>
      </w:r>
      <w:hyperlink r:id="rId25">
        <w:r>
          <w:rPr>
            <w:rFonts w:ascii="Times New Roman"/>
            <w:color w:val="0000FF"/>
            <w:sz w:val="18"/>
            <w:u w:val="single" w:color="0000FF"/>
          </w:rPr>
          <w:t>rents-when-it-comes-to-housing-affordability-this-province-is-on-fire/</w:t>
        </w:r>
      </w:hyperlink>
    </w:p>
    <w:p w14:paraId="253AE8A6" w14:textId="77777777" w:rsidR="00CA13B6" w:rsidRDefault="00CA13B6" w:rsidP="00CA13B6">
      <w:pPr>
        <w:ind w:left="100" w:right="1154"/>
        <w:rPr>
          <w:rFonts w:ascii="Times New Roman" w:hAnsi="Times New Roman"/>
          <w:sz w:val="18"/>
        </w:rPr>
      </w:pPr>
      <w:bookmarkStart w:id="15" w:name="_bookmark15"/>
      <w:bookmarkEnd w:id="15"/>
      <w:r>
        <w:rPr>
          <w:rFonts w:ascii="Times New Roman" w:hAnsi="Times New Roman"/>
          <w:position w:val="6"/>
          <w:sz w:val="12"/>
        </w:rPr>
        <w:t xml:space="preserve">9 </w:t>
      </w:r>
      <w:r>
        <w:rPr>
          <w:rFonts w:ascii="Times New Roman" w:hAnsi="Times New Roman"/>
          <w:sz w:val="18"/>
        </w:rPr>
        <w:t>Daily Bread Food Bank and North York Harvest Food Bank. (2025). Who’s Hungry Report. Record-Breaking Hunger.</w:t>
      </w:r>
      <w:hyperlink r:id="rId26">
        <w:r>
          <w:rPr>
            <w:rFonts w:ascii="Times New Roman" w:hAnsi="Times New Roman"/>
            <w:sz w:val="18"/>
          </w:rPr>
          <w:t xml:space="preserve"> r</w:t>
        </w:r>
        <w:r>
          <w:rPr>
            <w:rFonts w:ascii="Times New Roman" w:hAnsi="Times New Roman"/>
            <w:color w:val="0000FF"/>
            <w:sz w:val="18"/>
            <w:u w:val="single" w:color="0000FF"/>
          </w:rPr>
          <w:t>https://www.dailybread.ca/wp-content/uploads/2025/10/WH-Single-Spread-29OCT2025.pdf</w:t>
        </w:r>
      </w:hyperlink>
    </w:p>
    <w:p w14:paraId="5FFBEA04" w14:textId="77777777" w:rsidR="00CA13B6" w:rsidRDefault="00CA13B6" w:rsidP="00CA13B6">
      <w:pPr>
        <w:ind w:left="100" w:right="792"/>
        <w:rPr>
          <w:rFonts w:ascii="Times New Roman"/>
          <w:sz w:val="18"/>
        </w:rPr>
      </w:pPr>
      <w:bookmarkStart w:id="16" w:name="_bookmark16"/>
      <w:bookmarkEnd w:id="16"/>
      <w:r>
        <w:rPr>
          <w:rFonts w:ascii="Times New Roman"/>
          <w:position w:val="6"/>
          <w:sz w:val="12"/>
        </w:rPr>
        <w:t xml:space="preserve">10 </w:t>
      </w:r>
      <w:r>
        <w:rPr>
          <w:rFonts w:ascii="Times New Roman"/>
          <w:sz w:val="18"/>
        </w:rPr>
        <w:t xml:space="preserve">Statistics Canada. (2022). Shelter cost by tenure including presence of mortgage payments and subsidized housing: Canada, provinces and territories and census subdivisions affiliated with First Nations or Indian bands. Ottawa: Statistics Canada. </w:t>
      </w:r>
      <w:hyperlink r:id="rId27">
        <w:r>
          <w:rPr>
            <w:rFonts w:ascii="Times New Roman"/>
            <w:color w:val="0000FF"/>
            <w:sz w:val="18"/>
            <w:u w:val="single" w:color="0000FF"/>
          </w:rPr>
          <w:t>https://www150.statcan.gc.ca/t1/tbl1/en/tv.action?pid=9810025401</w:t>
        </w:r>
      </w:hyperlink>
    </w:p>
    <w:p w14:paraId="5E4D80C1" w14:textId="77777777" w:rsidR="00CA13B6" w:rsidRDefault="00CA13B6" w:rsidP="00CA13B6">
      <w:pPr>
        <w:spacing w:line="242" w:lineRule="auto"/>
        <w:ind w:left="100" w:right="682"/>
        <w:rPr>
          <w:rFonts w:ascii="Times New Roman"/>
          <w:sz w:val="18"/>
        </w:rPr>
      </w:pPr>
      <w:bookmarkStart w:id="17" w:name="_bookmark17"/>
      <w:bookmarkEnd w:id="17"/>
      <w:r>
        <w:rPr>
          <w:rFonts w:ascii="Times New Roman"/>
          <w:position w:val="6"/>
          <w:sz w:val="12"/>
        </w:rPr>
        <w:t xml:space="preserve">11 </w:t>
      </w:r>
      <w:r>
        <w:rPr>
          <w:rFonts w:ascii="Times New Roman"/>
          <w:sz w:val="18"/>
        </w:rPr>
        <w:t>CMHC Rental Market Report 2025. Table 1.4 Private Apartment Vacancy Rates (%), by Rent Quartile and Bedroom Type - Toronto CMA.</w:t>
      </w:r>
    </w:p>
    <w:p w14:paraId="5E515C21" w14:textId="77777777" w:rsidR="00CA13B6" w:rsidRDefault="00CA13B6" w:rsidP="00CA13B6">
      <w:pPr>
        <w:ind w:left="100"/>
        <w:rPr>
          <w:rFonts w:ascii="Times New Roman"/>
          <w:sz w:val="18"/>
        </w:rPr>
      </w:pPr>
      <w:bookmarkStart w:id="18" w:name="_bookmark18"/>
      <w:bookmarkEnd w:id="18"/>
      <w:r>
        <w:rPr>
          <w:rFonts w:ascii="Times New Roman"/>
          <w:position w:val="6"/>
          <w:sz w:val="12"/>
        </w:rPr>
        <w:t xml:space="preserve">12 </w:t>
      </w:r>
      <w:r>
        <w:rPr>
          <w:rFonts w:ascii="Times New Roman"/>
          <w:sz w:val="18"/>
        </w:rPr>
        <w:t xml:space="preserve">Office of the Auditor General of Ontario. (2017). </w:t>
      </w:r>
      <w:r>
        <w:rPr>
          <w:rFonts w:ascii="Times New Roman"/>
          <w:i/>
          <w:sz w:val="18"/>
        </w:rPr>
        <w:t>2017 Annual Report Volume 1: Section 3.14 Social and Affordable Housing</w:t>
      </w:r>
      <w:r>
        <w:rPr>
          <w:rFonts w:ascii="Times New Roman"/>
          <w:sz w:val="18"/>
        </w:rPr>
        <w:t xml:space="preserve">. </w:t>
      </w:r>
      <w:hyperlink r:id="rId28">
        <w:r>
          <w:rPr>
            <w:rFonts w:ascii="Times New Roman"/>
            <w:color w:val="0000FF"/>
            <w:sz w:val="18"/>
            <w:u w:val="single" w:color="0000FF"/>
          </w:rPr>
          <w:t>https://www.auditor.on.ca/en/content/annualreports/arreports/en17/v1_314en17.pdf</w:t>
        </w:r>
      </w:hyperlink>
    </w:p>
    <w:p w14:paraId="72484D07" w14:textId="77777777" w:rsidR="00CA13B6" w:rsidRDefault="00CA13B6" w:rsidP="00CA13B6">
      <w:pPr>
        <w:ind w:left="100" w:right="645"/>
        <w:rPr>
          <w:rFonts w:ascii="Times New Roman" w:hAnsi="Times New Roman"/>
          <w:sz w:val="18"/>
        </w:rPr>
      </w:pPr>
      <w:bookmarkStart w:id="19" w:name="_bookmark19"/>
      <w:bookmarkEnd w:id="19"/>
      <w:r>
        <w:rPr>
          <w:rFonts w:ascii="Times New Roman" w:hAnsi="Times New Roman"/>
          <w:position w:val="6"/>
          <w:sz w:val="12"/>
        </w:rPr>
        <w:t xml:space="preserve">13 </w:t>
      </w:r>
      <w:r>
        <w:rPr>
          <w:rFonts w:ascii="Times New Roman" w:hAnsi="Times New Roman"/>
          <w:sz w:val="18"/>
        </w:rPr>
        <w:t xml:space="preserve">Pinkerton, C. (2024, August 26). </w:t>
      </w:r>
      <w:r>
        <w:rPr>
          <w:rFonts w:ascii="Times New Roman" w:hAnsi="Times New Roman"/>
          <w:i/>
          <w:sz w:val="18"/>
        </w:rPr>
        <w:t xml:space="preserve">The Ford government says its data was botched — so how many people are homeless in Ontario? The Trillium. </w:t>
      </w:r>
      <w:hyperlink r:id="rId29">
        <w:r>
          <w:rPr>
            <w:rFonts w:ascii="Times New Roman" w:hAnsi="Times New Roman"/>
            <w:color w:val="0000FF"/>
            <w:sz w:val="18"/>
            <w:u w:val="single" w:color="0000FF"/>
          </w:rPr>
          <w:t>https://www.thetrillium.ca/news/housing/the-ford-government-says-its-data-was-botched-so-how-many-</w:t>
        </w:r>
      </w:hyperlink>
      <w:r>
        <w:rPr>
          <w:rFonts w:ascii="Times New Roman" w:hAnsi="Times New Roman"/>
          <w:color w:val="0000FF"/>
          <w:sz w:val="18"/>
        </w:rPr>
        <w:t xml:space="preserve"> </w:t>
      </w:r>
      <w:hyperlink r:id="rId30">
        <w:r>
          <w:rPr>
            <w:rFonts w:ascii="Times New Roman" w:hAnsi="Times New Roman"/>
            <w:color w:val="0000FF"/>
            <w:sz w:val="18"/>
            <w:u w:val="single" w:color="0000FF"/>
          </w:rPr>
          <w:t>people-are-homeless-in-ontario-9435686</w:t>
        </w:r>
      </w:hyperlink>
    </w:p>
    <w:p w14:paraId="5AC00D16" w14:textId="77777777" w:rsidR="00CA13B6" w:rsidRDefault="00CA13B6" w:rsidP="00CA13B6">
      <w:pPr>
        <w:ind w:left="100" w:right="536"/>
        <w:rPr>
          <w:rFonts w:ascii="Times New Roman" w:hAnsi="Times New Roman"/>
          <w:sz w:val="18"/>
        </w:rPr>
      </w:pPr>
      <w:bookmarkStart w:id="20" w:name="_bookmark20"/>
      <w:bookmarkEnd w:id="20"/>
      <w:r>
        <w:rPr>
          <w:rFonts w:ascii="Times New Roman" w:hAnsi="Times New Roman"/>
          <w:position w:val="6"/>
          <w:sz w:val="12"/>
        </w:rPr>
        <w:t xml:space="preserve">14 </w:t>
      </w:r>
      <w:r>
        <w:rPr>
          <w:rFonts w:ascii="Times New Roman" w:hAnsi="Times New Roman"/>
          <w:sz w:val="18"/>
        </w:rPr>
        <w:t xml:space="preserve">Callan, I and D’Mello, C. (2025, November 6). </w:t>
      </w:r>
      <w:r>
        <w:rPr>
          <w:rFonts w:ascii="Times New Roman" w:hAnsi="Times New Roman"/>
          <w:i/>
          <w:sz w:val="18"/>
        </w:rPr>
        <w:t>Ontario housing projections plummet again, hurting 1.5M goal. Global News</w:t>
      </w:r>
      <w:r>
        <w:rPr>
          <w:rFonts w:ascii="Times New Roman" w:hAnsi="Times New Roman"/>
          <w:sz w:val="18"/>
        </w:rPr>
        <w:t xml:space="preserve">. </w:t>
      </w:r>
      <w:hyperlink r:id="rId31" w:anchor="%3A~%3Atext%3DOntario%27s%20final%20tally%20for%20housing%20starts%20in%2Cquarter%20of%202025%20were%20at%20the%20lowest">
        <w:r>
          <w:rPr>
            <w:rFonts w:ascii="Times New Roman" w:hAnsi="Times New Roman"/>
            <w:color w:val="0000FF"/>
            <w:sz w:val="18"/>
            <w:u w:val="single" w:color="0000FF"/>
          </w:rPr>
          <w:t>https://globalnews.ca/news/11514954/ontario-housing-starts-down-</w:t>
        </w:r>
      </w:hyperlink>
      <w:r>
        <w:rPr>
          <w:rFonts w:ascii="Times New Roman" w:hAnsi="Times New Roman"/>
          <w:color w:val="0000FF"/>
          <w:sz w:val="18"/>
        </w:rPr>
        <w:t xml:space="preserve"> </w:t>
      </w:r>
      <w:hyperlink r:id="rId32" w:anchor="%3A~%3Atext%3DOntario%27s%20final%20tally%20for%20housing%20starts%20in%2Cquarter%20of%202025%20were%20at%20the%20lowest">
        <w:r>
          <w:rPr>
            <w:rFonts w:ascii="Times New Roman" w:hAnsi="Times New Roman"/>
            <w:color w:val="0000FF"/>
            <w:sz w:val="18"/>
            <w:u w:val="single" w:color="0000FF"/>
          </w:rPr>
          <w:t>2025/#:~:text=Ontario's%20final%20tally%20for%20housing%20starts%20in,quarter%20of%202025%20were%20at%20the%2</w:t>
        </w:r>
      </w:hyperlink>
      <w:r>
        <w:rPr>
          <w:rFonts w:ascii="Times New Roman" w:hAnsi="Times New Roman"/>
          <w:color w:val="0000FF"/>
          <w:sz w:val="18"/>
        </w:rPr>
        <w:t xml:space="preserve"> </w:t>
      </w:r>
      <w:hyperlink r:id="rId33" w:anchor="%3A~%3Atext%3DOntario%27s%20final%20tally%20for%20housing%20starts%20in%2Cquarter%20of%202025%20were%20at%20the%20lowest">
        <w:r>
          <w:rPr>
            <w:rFonts w:ascii="Times New Roman" w:hAnsi="Times New Roman"/>
            <w:color w:val="0000FF"/>
            <w:sz w:val="18"/>
            <w:u w:val="single" w:color="0000FF"/>
          </w:rPr>
          <w:t>0lowest</w:t>
        </w:r>
      </w:hyperlink>
    </w:p>
    <w:p w14:paraId="14C2F576" w14:textId="77777777" w:rsidR="00CA13B6" w:rsidRDefault="00CA13B6" w:rsidP="00CA13B6">
      <w:pPr>
        <w:ind w:left="100" w:right="780"/>
        <w:rPr>
          <w:rFonts w:ascii="Times New Roman"/>
          <w:sz w:val="18"/>
        </w:rPr>
      </w:pPr>
      <w:bookmarkStart w:id="21" w:name="_bookmark21"/>
      <w:bookmarkEnd w:id="21"/>
      <w:r>
        <w:rPr>
          <w:rFonts w:ascii="Times New Roman"/>
          <w:position w:val="6"/>
          <w:sz w:val="12"/>
        </w:rPr>
        <w:t xml:space="preserve">15 </w:t>
      </w:r>
      <w:r>
        <w:rPr>
          <w:rFonts w:ascii="Times New Roman"/>
          <w:sz w:val="18"/>
        </w:rPr>
        <w:t xml:space="preserve">Deloitte. (2023). </w:t>
      </w:r>
      <w:r>
        <w:rPr>
          <w:rFonts w:ascii="Times New Roman"/>
          <w:i/>
          <w:sz w:val="18"/>
        </w:rPr>
        <w:t>The Impact of Community Housing on Productivity. Ottawa: Canadian Housing and Renewal Association, and Housing Partnership Canada</w:t>
      </w:r>
      <w:r>
        <w:rPr>
          <w:rFonts w:ascii="Times New Roman"/>
          <w:sz w:val="18"/>
        </w:rPr>
        <w:t xml:space="preserve">. </w:t>
      </w:r>
      <w:hyperlink r:id="rId34">
        <w:r>
          <w:rPr>
            <w:rFonts w:ascii="Times New Roman"/>
            <w:color w:val="0000FF"/>
            <w:sz w:val="18"/>
            <w:u w:val="single" w:color="0000FF"/>
          </w:rPr>
          <w:t>https://chra-achru.ca/wp-content/uploads/2023/11/Community-Housing-and-Productivity-</w:t>
        </w:r>
      </w:hyperlink>
      <w:r>
        <w:rPr>
          <w:rFonts w:ascii="Times New Roman"/>
          <w:color w:val="0000FF"/>
          <w:sz w:val="18"/>
        </w:rPr>
        <w:t xml:space="preserve"> </w:t>
      </w:r>
      <w:hyperlink r:id="rId35">
        <w:r>
          <w:rPr>
            <w:rFonts w:ascii="Times New Roman"/>
            <w:color w:val="0000FF"/>
            <w:sz w:val="18"/>
            <w:u w:val="single" w:color="0000FF"/>
          </w:rPr>
          <w:t>Study_final.pdf</w:t>
        </w:r>
      </w:hyperlink>
    </w:p>
    <w:p w14:paraId="164F7BFF" w14:textId="77777777" w:rsidR="00CA13B6" w:rsidRDefault="00CA13B6" w:rsidP="00CA13B6">
      <w:pPr>
        <w:ind w:left="100" w:right="780"/>
        <w:rPr>
          <w:rFonts w:ascii="Times New Roman"/>
          <w:sz w:val="18"/>
        </w:rPr>
      </w:pPr>
      <w:bookmarkStart w:id="22" w:name="_bookmark22"/>
      <w:bookmarkEnd w:id="22"/>
      <w:r>
        <w:rPr>
          <w:rFonts w:ascii="Times New Roman"/>
          <w:position w:val="6"/>
          <w:sz w:val="12"/>
        </w:rPr>
        <w:t xml:space="preserve">16 </w:t>
      </w:r>
      <w:r>
        <w:rPr>
          <w:rFonts w:ascii="Times New Roman"/>
          <w:sz w:val="18"/>
        </w:rPr>
        <w:t xml:space="preserve">Deloitte. (2023). </w:t>
      </w:r>
      <w:r>
        <w:rPr>
          <w:rFonts w:ascii="Times New Roman"/>
          <w:i/>
          <w:sz w:val="18"/>
        </w:rPr>
        <w:t>The Impact of Community Housing on Productivity. Ottawa: Canadian Housing and Renewal Association, and Housing Partnership Canada</w:t>
      </w:r>
      <w:r>
        <w:rPr>
          <w:rFonts w:ascii="Times New Roman"/>
          <w:sz w:val="18"/>
        </w:rPr>
        <w:t xml:space="preserve">. </w:t>
      </w:r>
      <w:hyperlink r:id="rId36">
        <w:r>
          <w:rPr>
            <w:rFonts w:ascii="Times New Roman"/>
            <w:color w:val="0000FF"/>
            <w:sz w:val="18"/>
            <w:u w:val="single" w:color="0000FF"/>
          </w:rPr>
          <w:t>https://chra-achru.ca/wp-content/uploads/2023/11/Community-Housing-and-Productivity-</w:t>
        </w:r>
      </w:hyperlink>
      <w:r>
        <w:rPr>
          <w:rFonts w:ascii="Times New Roman"/>
          <w:color w:val="0000FF"/>
          <w:sz w:val="18"/>
        </w:rPr>
        <w:t xml:space="preserve"> </w:t>
      </w:r>
      <w:hyperlink r:id="rId37">
        <w:r>
          <w:rPr>
            <w:rFonts w:ascii="Times New Roman"/>
            <w:color w:val="0000FF"/>
            <w:sz w:val="18"/>
            <w:u w:val="single" w:color="0000FF"/>
          </w:rPr>
          <w:t>Study_final.pdf</w:t>
        </w:r>
      </w:hyperlink>
    </w:p>
    <w:p w14:paraId="0254AE19" w14:textId="77777777" w:rsidR="00CA13B6" w:rsidRDefault="00CA13B6" w:rsidP="00CA13B6">
      <w:pPr>
        <w:rPr>
          <w:rFonts w:ascii="Times New Roman"/>
          <w:sz w:val="18"/>
        </w:rPr>
        <w:sectPr w:rsidR="00CA13B6" w:rsidSect="00CA13B6">
          <w:pgSz w:w="12240" w:h="15840"/>
          <w:pgMar w:top="1360" w:right="920" w:bottom="1160" w:left="1340" w:header="0" w:footer="969" w:gutter="0"/>
          <w:cols w:space="720"/>
        </w:sectPr>
      </w:pPr>
    </w:p>
    <w:p w14:paraId="05A79B00" w14:textId="77777777" w:rsidR="00CA13B6" w:rsidRDefault="00CA13B6" w:rsidP="00CA13B6">
      <w:pPr>
        <w:pStyle w:val="BodyText"/>
        <w:spacing w:before="7"/>
        <w:rPr>
          <w:rFonts w:ascii="Times New Roman"/>
          <w:sz w:val="6"/>
        </w:rPr>
      </w:pPr>
    </w:p>
    <w:p w14:paraId="09F1FF09" w14:textId="77777777" w:rsidR="00CA13B6" w:rsidRDefault="00CA13B6" w:rsidP="00CA13B6">
      <w:pPr>
        <w:pStyle w:val="BodyText"/>
        <w:spacing w:line="20" w:lineRule="exact"/>
        <w:ind w:left="95"/>
        <w:rPr>
          <w:rFonts w:ascii="Times New Roman"/>
          <w:sz w:val="2"/>
        </w:rPr>
      </w:pPr>
      <w:r>
        <w:rPr>
          <w:rFonts w:ascii="Times New Roman"/>
          <w:sz w:val="2"/>
        </w:rPr>
      </w:r>
      <w:r>
        <w:rPr>
          <w:rFonts w:ascii="Times New Roman"/>
          <w:sz w:val="2"/>
        </w:rPr>
        <w:pict w14:anchorId="63CCA356">
          <v:group id="_x0000_s2071" style="width:468.1pt;height:.5pt;mso-position-horizontal-relative:char;mso-position-vertical-relative:line" coordsize="9362,10">
            <v:line id="_x0000_s2072" style="position:absolute" from="0,5" to="9361,5" strokeweight=".48pt"/>
            <w10:anchorlock/>
          </v:group>
        </w:pict>
      </w:r>
    </w:p>
    <w:p w14:paraId="23D1B0F0" w14:textId="77777777" w:rsidR="00CA13B6" w:rsidRDefault="00CA13B6" w:rsidP="00CA13B6">
      <w:pPr>
        <w:spacing w:before="70"/>
        <w:ind w:left="100" w:right="722"/>
        <w:rPr>
          <w:rFonts w:ascii="Times New Roman"/>
          <w:sz w:val="18"/>
        </w:rPr>
      </w:pPr>
      <w:bookmarkStart w:id="23" w:name="_bookmark23"/>
      <w:bookmarkEnd w:id="23"/>
      <w:r>
        <w:rPr>
          <w:rFonts w:ascii="Times New Roman"/>
          <w:position w:val="6"/>
          <w:sz w:val="12"/>
        </w:rPr>
        <w:t xml:space="preserve">17 </w:t>
      </w:r>
      <w:r>
        <w:rPr>
          <w:rFonts w:ascii="Times New Roman"/>
          <w:sz w:val="18"/>
        </w:rPr>
        <w:t>United Way Greater Toronto. (2023). Bringing An action plan for housing stability in Ontario. Toronto: United Way Greater Toronto.</w:t>
      </w:r>
    </w:p>
    <w:p w14:paraId="3E7DA602" w14:textId="77777777" w:rsidR="00CA13B6" w:rsidRDefault="00CA13B6" w:rsidP="00CA13B6">
      <w:pPr>
        <w:spacing w:line="205" w:lineRule="exact"/>
        <w:ind w:left="100"/>
        <w:rPr>
          <w:rFonts w:ascii="Times New Roman"/>
          <w:sz w:val="18"/>
        </w:rPr>
      </w:pPr>
      <w:hyperlink r:id="rId38">
        <w:r>
          <w:rPr>
            <w:rFonts w:ascii="Times New Roman"/>
            <w:color w:val="0000FF"/>
            <w:sz w:val="18"/>
            <w:u w:val="single" w:color="0000FF"/>
          </w:rPr>
          <w:t>https://www.unitedwaygt.org/wp-content/uploads/2023/11/BAHH_Action_Plan_Final.pdf</w:t>
        </w:r>
      </w:hyperlink>
    </w:p>
    <w:p w14:paraId="75565DDC" w14:textId="77777777" w:rsidR="00CA13B6" w:rsidRDefault="00CA13B6" w:rsidP="00CA13B6">
      <w:pPr>
        <w:ind w:left="100" w:right="619"/>
        <w:rPr>
          <w:rFonts w:ascii="Times New Roman"/>
          <w:sz w:val="18"/>
        </w:rPr>
      </w:pPr>
      <w:bookmarkStart w:id="24" w:name="_bookmark24"/>
      <w:bookmarkEnd w:id="24"/>
      <w:r>
        <w:rPr>
          <w:rFonts w:ascii="Times New Roman"/>
          <w:position w:val="6"/>
          <w:sz w:val="12"/>
        </w:rPr>
        <w:t xml:space="preserve">18 </w:t>
      </w:r>
      <w:r>
        <w:rPr>
          <w:rFonts w:ascii="Times New Roman"/>
          <w:sz w:val="18"/>
        </w:rPr>
        <w:t xml:space="preserve">Shaina L., Matthew P., Ivan A., and Saman M. (Mar 10, 2022). Why Canada is losing affordable rental housing faster than it's being built. </w:t>
      </w:r>
      <w:r>
        <w:rPr>
          <w:rFonts w:ascii="Times New Roman"/>
          <w:i/>
          <w:sz w:val="18"/>
        </w:rPr>
        <w:t>CBC News</w:t>
      </w:r>
      <w:r>
        <w:rPr>
          <w:rFonts w:ascii="Times New Roman"/>
          <w:sz w:val="18"/>
        </w:rPr>
        <w:t xml:space="preserve">. </w:t>
      </w:r>
      <w:hyperlink r:id="rId39">
        <w:r>
          <w:rPr>
            <w:rFonts w:ascii="Times New Roman"/>
            <w:color w:val="0000FF"/>
            <w:sz w:val="18"/>
            <w:u w:val="single" w:color="0000FF"/>
          </w:rPr>
          <w:t>https://www.cbc.ca/news/canada/financialization-and-canadian-renters-1.6378257</w:t>
        </w:r>
      </w:hyperlink>
    </w:p>
    <w:p w14:paraId="0D5BB789" w14:textId="77777777" w:rsidR="00CA13B6" w:rsidRDefault="00CA13B6" w:rsidP="00CA13B6">
      <w:pPr>
        <w:ind w:left="100" w:right="713"/>
        <w:rPr>
          <w:rFonts w:ascii="Times New Roman"/>
          <w:sz w:val="18"/>
        </w:rPr>
      </w:pPr>
      <w:bookmarkStart w:id="25" w:name="_bookmark25"/>
      <w:bookmarkEnd w:id="25"/>
      <w:r>
        <w:rPr>
          <w:rFonts w:ascii="Times New Roman"/>
          <w:position w:val="6"/>
          <w:sz w:val="12"/>
        </w:rPr>
        <w:t xml:space="preserve">19 </w:t>
      </w:r>
      <w:r>
        <w:rPr>
          <w:rFonts w:ascii="Times New Roman"/>
          <w:sz w:val="18"/>
        </w:rPr>
        <w:t>CMHC. Rental Market Survey, Canada, 2025: Data Tables. 6.0 Average Rent and Average Change in Rent for Turnover and Non-turnover Units, Two Bedrooms Only (Privately Initiated Apartment Structures of Three Units and Over - Provinces and Major Centres). Ottawa: CMHC.</w:t>
      </w:r>
    </w:p>
    <w:p w14:paraId="129CCAEE" w14:textId="77777777" w:rsidR="00CA13B6" w:rsidRDefault="00CA13B6" w:rsidP="00CA13B6">
      <w:pPr>
        <w:ind w:left="100" w:right="1029"/>
        <w:rPr>
          <w:rFonts w:ascii="Times New Roman"/>
          <w:i/>
          <w:sz w:val="18"/>
        </w:rPr>
      </w:pPr>
      <w:bookmarkStart w:id="26" w:name="_bookmark26"/>
      <w:bookmarkEnd w:id="26"/>
      <w:r>
        <w:rPr>
          <w:rFonts w:ascii="Times New Roman"/>
          <w:position w:val="6"/>
          <w:sz w:val="12"/>
        </w:rPr>
        <w:t xml:space="preserve">20 </w:t>
      </w:r>
      <w:r>
        <w:rPr>
          <w:rFonts w:ascii="Times New Roman"/>
          <w:sz w:val="18"/>
        </w:rPr>
        <w:t xml:space="preserve">Hennessy, A. (Jul 29, 2024). Tenants fight back as landlords seeking own-use evictions rise 85% in Ontario. </w:t>
      </w:r>
      <w:r>
        <w:rPr>
          <w:rFonts w:ascii="Times New Roman"/>
          <w:i/>
          <w:sz w:val="18"/>
        </w:rPr>
        <w:t>CBC News.</w:t>
      </w:r>
      <w:bookmarkStart w:id="27" w:name="_bookmark27"/>
      <w:bookmarkEnd w:id="27"/>
      <w:r>
        <w:rPr>
          <w:rFonts w:ascii="Times New Roman"/>
          <w:i/>
          <w:sz w:val="18"/>
        </w:rPr>
        <w:t xml:space="preserve"> </w:t>
      </w:r>
      <w:hyperlink r:id="rId40">
        <w:r>
          <w:rPr>
            <w:rFonts w:ascii="Times New Roman"/>
            <w:i/>
            <w:color w:val="0000FF"/>
            <w:sz w:val="18"/>
            <w:u w:val="single" w:color="0000FF"/>
          </w:rPr>
          <w:t>https://www.cbc.ca/news/canada/housing-rent-evictions-ontario-1.7266000</w:t>
        </w:r>
      </w:hyperlink>
    </w:p>
    <w:p w14:paraId="2421BCDE" w14:textId="77777777" w:rsidR="00CA13B6" w:rsidRDefault="00CA13B6" w:rsidP="00CA13B6">
      <w:pPr>
        <w:spacing w:line="206" w:lineRule="exact"/>
        <w:ind w:left="100"/>
        <w:rPr>
          <w:rFonts w:ascii="Times New Roman"/>
          <w:i/>
          <w:sz w:val="18"/>
        </w:rPr>
      </w:pPr>
      <w:r>
        <w:rPr>
          <w:rFonts w:ascii="Times New Roman"/>
          <w:position w:val="6"/>
          <w:sz w:val="12"/>
        </w:rPr>
        <w:t xml:space="preserve">21 </w:t>
      </w:r>
      <w:r>
        <w:rPr>
          <w:rFonts w:ascii="Times New Roman"/>
          <w:sz w:val="18"/>
        </w:rPr>
        <w:t xml:space="preserve">Mauro, E. (Jan 25, 2023). Rent Rage: You need to earn how much to live in Toronto? </w:t>
      </w:r>
      <w:r>
        <w:rPr>
          <w:rFonts w:ascii="Times New Roman"/>
          <w:i/>
          <w:sz w:val="18"/>
        </w:rPr>
        <w:t>CBC News.</w:t>
      </w:r>
    </w:p>
    <w:p w14:paraId="3D57512A" w14:textId="77777777" w:rsidR="00CA13B6" w:rsidRDefault="00CA13B6" w:rsidP="00CA13B6">
      <w:pPr>
        <w:spacing w:line="206" w:lineRule="exact"/>
        <w:ind w:left="100"/>
        <w:rPr>
          <w:rFonts w:ascii="Times New Roman"/>
          <w:sz w:val="18"/>
        </w:rPr>
      </w:pPr>
      <w:hyperlink r:id="rId41">
        <w:r>
          <w:rPr>
            <w:rFonts w:ascii="Times New Roman"/>
            <w:color w:val="0000FF"/>
            <w:sz w:val="18"/>
            <w:u w:val="single" w:color="0000FF"/>
          </w:rPr>
          <w:t>https://www.cbc.ca/player/play/video/1.6725138</w:t>
        </w:r>
      </w:hyperlink>
    </w:p>
    <w:p w14:paraId="59D17ACB" w14:textId="77777777" w:rsidR="00CA13B6" w:rsidRDefault="00CA13B6" w:rsidP="00CA13B6">
      <w:pPr>
        <w:ind w:left="100" w:right="627"/>
        <w:rPr>
          <w:rFonts w:ascii="Times New Roman"/>
          <w:sz w:val="18"/>
        </w:rPr>
      </w:pPr>
      <w:bookmarkStart w:id="28" w:name="_bookmark28"/>
      <w:bookmarkEnd w:id="28"/>
      <w:r>
        <w:rPr>
          <w:rFonts w:ascii="Times New Roman"/>
          <w:position w:val="6"/>
          <w:sz w:val="12"/>
        </w:rPr>
        <w:t xml:space="preserve">22 </w:t>
      </w:r>
      <w:r>
        <w:rPr>
          <w:rFonts w:ascii="Times New Roman"/>
          <w:sz w:val="18"/>
        </w:rPr>
        <w:t xml:space="preserve">CMHC. (2025). Rental Market Survey, 2025: Data Table. 3.1.7 Profile of New Rental Stock - Private Row (Townhouse) and Apartment Vacancy Rate (%), Average Rent ($) and Universe by Zone and Bedroom Type - For Structures Completed Between July 2021 &amp; June 2024. </w:t>
      </w:r>
      <w:r>
        <w:rPr>
          <w:rFonts w:ascii="Times New Roman"/>
          <w:i/>
          <w:sz w:val="18"/>
        </w:rPr>
        <w:t xml:space="preserve">By Census Metropolitan Area (CMA): Toronto, London, Ottawa, </w:t>
      </w:r>
      <w:proofErr w:type="gramStart"/>
      <w:r>
        <w:rPr>
          <w:rFonts w:ascii="Times New Roman"/>
          <w:i/>
          <w:sz w:val="18"/>
        </w:rPr>
        <w:t>Windsor..</w:t>
      </w:r>
      <w:proofErr w:type="gramEnd"/>
      <w:r>
        <w:rPr>
          <w:rFonts w:ascii="Times New Roman"/>
          <w:i/>
          <w:sz w:val="18"/>
        </w:rPr>
        <w:t xml:space="preserve"> </w:t>
      </w:r>
      <w:r>
        <w:rPr>
          <w:rFonts w:ascii="Times New Roman"/>
          <w:sz w:val="18"/>
        </w:rPr>
        <w:t>Ottawa: CMHC.</w:t>
      </w:r>
    </w:p>
    <w:p w14:paraId="5460A2F9" w14:textId="77777777" w:rsidR="00CA13B6" w:rsidRDefault="00CA13B6" w:rsidP="00CA13B6">
      <w:pPr>
        <w:ind w:left="100" w:right="577"/>
        <w:rPr>
          <w:rFonts w:ascii="Times New Roman"/>
          <w:i/>
          <w:sz w:val="18"/>
        </w:rPr>
      </w:pPr>
      <w:bookmarkStart w:id="29" w:name="_bookmark29"/>
      <w:bookmarkEnd w:id="29"/>
      <w:r>
        <w:rPr>
          <w:rFonts w:ascii="Times New Roman"/>
          <w:position w:val="6"/>
          <w:sz w:val="12"/>
        </w:rPr>
        <w:t xml:space="preserve">23 </w:t>
      </w:r>
      <w:r>
        <w:rPr>
          <w:rFonts w:ascii="Times New Roman"/>
          <w:sz w:val="18"/>
        </w:rPr>
        <w:t xml:space="preserve">No Demovictions. (2024). Frequently Asked Questions. Toronto: No Demovictions. </w:t>
      </w:r>
      <w:hyperlink r:id="rId42">
        <w:r>
          <w:rPr>
            <w:rFonts w:ascii="Times New Roman"/>
            <w:color w:val="0000FF"/>
            <w:sz w:val="18"/>
            <w:u w:val="single" w:color="0000FF"/>
          </w:rPr>
          <w:t>https://www.nodemovictions.ca/resources</w:t>
        </w:r>
      </w:hyperlink>
      <w:r>
        <w:rPr>
          <w:rFonts w:ascii="Times New Roman"/>
          <w:color w:val="0000FF"/>
          <w:sz w:val="18"/>
        </w:rPr>
        <w:t xml:space="preserve"> </w:t>
      </w:r>
      <w:r>
        <w:rPr>
          <w:rFonts w:ascii="Times New Roman"/>
          <w:sz w:val="18"/>
        </w:rPr>
        <w:t xml:space="preserve">Pace, T. (Jan 8, 2025). Guelph residents worried their homes are headed for 'demoviction'. </w:t>
      </w:r>
      <w:r>
        <w:rPr>
          <w:rFonts w:ascii="Times New Roman"/>
          <w:i/>
          <w:sz w:val="18"/>
        </w:rPr>
        <w:t xml:space="preserve">Guelph Today. </w:t>
      </w:r>
      <w:hyperlink r:id="rId43">
        <w:r>
          <w:rPr>
            <w:rFonts w:ascii="Times New Roman"/>
            <w:i/>
            <w:color w:val="0000FF"/>
            <w:sz w:val="18"/>
            <w:u w:val="single" w:color="0000FF"/>
          </w:rPr>
          <w:t>https://www.guelphtoday.com/local-news/guelph-residents-worried-their-homes-are-headed-for-demoviction-9998132</w:t>
        </w:r>
      </w:hyperlink>
    </w:p>
    <w:p w14:paraId="1A591382" w14:textId="77777777" w:rsidR="00CA13B6" w:rsidRDefault="00CA13B6" w:rsidP="00CA13B6">
      <w:pPr>
        <w:spacing w:line="237" w:lineRule="auto"/>
        <w:ind w:left="100" w:right="576"/>
        <w:rPr>
          <w:rFonts w:ascii="Times New Roman"/>
          <w:sz w:val="18"/>
        </w:rPr>
      </w:pPr>
      <w:bookmarkStart w:id="30" w:name="_bookmark30"/>
      <w:bookmarkEnd w:id="30"/>
      <w:r>
        <w:rPr>
          <w:rFonts w:ascii="Times New Roman"/>
          <w:position w:val="6"/>
          <w:sz w:val="12"/>
        </w:rPr>
        <w:t xml:space="preserve">24 </w:t>
      </w:r>
      <w:r>
        <w:rPr>
          <w:rFonts w:ascii="Times New Roman"/>
          <w:sz w:val="18"/>
        </w:rPr>
        <w:t xml:space="preserve">No Demovictions. (2024). Frequently Asked Questions. Toronto: No Demovictions. </w:t>
      </w:r>
      <w:hyperlink r:id="rId44">
        <w:r>
          <w:rPr>
            <w:rFonts w:ascii="Times New Roman"/>
            <w:color w:val="0000FF"/>
            <w:sz w:val="18"/>
            <w:u w:val="single" w:color="0000FF"/>
          </w:rPr>
          <w:t>https://www.nodemovictions.ca/resources</w:t>
        </w:r>
      </w:hyperlink>
      <w:bookmarkStart w:id="31" w:name="_bookmark31"/>
      <w:bookmarkEnd w:id="31"/>
      <w:r>
        <w:rPr>
          <w:rFonts w:ascii="Times New Roman"/>
          <w:color w:val="0000FF"/>
          <w:sz w:val="18"/>
        </w:rPr>
        <w:t xml:space="preserve"> </w:t>
      </w:r>
      <w:r>
        <w:rPr>
          <w:rFonts w:ascii="Times New Roman"/>
          <w:position w:val="6"/>
          <w:sz w:val="12"/>
        </w:rPr>
        <w:t xml:space="preserve">25 </w:t>
      </w:r>
      <w:r>
        <w:rPr>
          <w:rFonts w:ascii="Times New Roman"/>
          <w:sz w:val="18"/>
        </w:rPr>
        <w:t xml:space="preserve">No Demovictions. (2024). More Fairness in Moving Compensation. Toronto: No Demovictions. </w:t>
      </w:r>
      <w:hyperlink r:id="rId45">
        <w:r>
          <w:rPr>
            <w:rFonts w:ascii="Times New Roman"/>
            <w:color w:val="0000FF"/>
            <w:sz w:val="18"/>
            <w:u w:val="single" w:color="0000FF"/>
          </w:rPr>
          <w:t>https://www.nodemovictions.ca/_files/ugd/25da92_0cf79e087ff74cb1a2a01362b86ae51f.pdf</w:t>
        </w:r>
      </w:hyperlink>
    </w:p>
    <w:p w14:paraId="664E2F07" w14:textId="77777777" w:rsidR="00CA13B6" w:rsidRDefault="00CA13B6" w:rsidP="00CA13B6">
      <w:pPr>
        <w:ind w:left="100" w:right="1576"/>
        <w:rPr>
          <w:rFonts w:ascii="Times New Roman"/>
          <w:sz w:val="18"/>
        </w:rPr>
      </w:pPr>
      <w:bookmarkStart w:id="32" w:name="_bookmark32"/>
      <w:bookmarkEnd w:id="32"/>
      <w:r>
        <w:rPr>
          <w:rFonts w:ascii="Times New Roman"/>
          <w:position w:val="6"/>
          <w:sz w:val="12"/>
        </w:rPr>
        <w:t xml:space="preserve">26 </w:t>
      </w:r>
      <w:r>
        <w:rPr>
          <w:rFonts w:ascii="Times New Roman"/>
          <w:sz w:val="18"/>
        </w:rPr>
        <w:t xml:space="preserve">Zigman, P., and August, M. (2021). Above Guideline Rent Increases in the Age of Financialization. Toronto: No Demovictions. </w:t>
      </w:r>
      <w:hyperlink r:id="rId46">
        <w:r>
          <w:rPr>
            <w:rFonts w:ascii="Times New Roman"/>
            <w:color w:val="0000FF"/>
            <w:sz w:val="18"/>
            <w:u w:val="single" w:color="0000FF"/>
          </w:rPr>
          <w:t>https://renovictionsto.com/reports/RenovictionsTO-AGIReport-Final.pdf</w:t>
        </w:r>
      </w:hyperlink>
    </w:p>
    <w:p w14:paraId="606F0059" w14:textId="77777777" w:rsidR="00CA13B6" w:rsidRDefault="00CA13B6" w:rsidP="00CA13B6">
      <w:pPr>
        <w:ind w:left="100" w:right="1702"/>
        <w:rPr>
          <w:rFonts w:ascii="Times New Roman" w:hAnsi="Times New Roman"/>
          <w:sz w:val="18"/>
        </w:rPr>
      </w:pPr>
      <w:bookmarkStart w:id="33" w:name="_bookmark33"/>
      <w:bookmarkEnd w:id="33"/>
      <w:r>
        <w:rPr>
          <w:rFonts w:ascii="Times New Roman" w:hAnsi="Times New Roman"/>
          <w:position w:val="6"/>
          <w:sz w:val="12"/>
        </w:rPr>
        <w:t xml:space="preserve">27 </w:t>
      </w:r>
      <w:r>
        <w:rPr>
          <w:rFonts w:ascii="Times New Roman" w:hAnsi="Times New Roman"/>
          <w:sz w:val="18"/>
        </w:rPr>
        <w:t xml:space="preserve">Tranjan, R. and Vargatoth, P. (2024). Arguments against rent control don’t hold up to scrutiny. Ottawa: CCPA. </w:t>
      </w:r>
      <w:hyperlink r:id="rId47">
        <w:r>
          <w:rPr>
            <w:rFonts w:ascii="Times New Roman" w:hAnsi="Times New Roman"/>
            <w:color w:val="0000FF"/>
            <w:sz w:val="18"/>
            <w:u w:val="single" w:color="0000FF"/>
          </w:rPr>
          <w:t>https://www.policyalternatives.ca/news-research/arguments-against-rent-control-dont-hold-upt-o-scrutiny/</w:t>
        </w:r>
      </w:hyperlink>
      <w:r>
        <w:rPr>
          <w:rFonts w:ascii="Times New Roman" w:hAnsi="Times New Roman"/>
          <w:color w:val="0000FF"/>
          <w:sz w:val="18"/>
        </w:rPr>
        <w:t xml:space="preserve"> </w:t>
      </w:r>
      <w:r>
        <w:rPr>
          <w:rFonts w:ascii="Times New Roman" w:hAnsi="Times New Roman"/>
          <w:sz w:val="18"/>
        </w:rPr>
        <w:t>KPMG. (2020). Study of the Impacts of Rent Control Policies. Ottawa: CMHC.</w:t>
      </w:r>
    </w:p>
    <w:p w14:paraId="1D6D4A40" w14:textId="77777777" w:rsidR="00CA13B6" w:rsidRDefault="00CA13B6" w:rsidP="00CA13B6">
      <w:pPr>
        <w:ind w:left="100" w:right="856"/>
        <w:rPr>
          <w:rFonts w:ascii="Times New Roman"/>
          <w:sz w:val="18"/>
        </w:rPr>
      </w:pPr>
      <w:hyperlink r:id="rId48">
        <w:r>
          <w:rPr>
            <w:rFonts w:ascii="Times New Roman"/>
            <w:color w:val="0000FF"/>
            <w:sz w:val="18"/>
            <w:u w:val="single" w:color="0000FF"/>
          </w:rPr>
          <w:t>https://eppdscrmssa01.blob.core.windows.net/cmhcprodcontainer/sf/project/archive/research_5/study-of-the-impacts-of-rent-</w:t>
        </w:r>
      </w:hyperlink>
      <w:r>
        <w:rPr>
          <w:rFonts w:ascii="Times New Roman"/>
          <w:color w:val="0000FF"/>
          <w:sz w:val="18"/>
        </w:rPr>
        <w:t xml:space="preserve"> </w:t>
      </w:r>
      <w:hyperlink r:id="rId49">
        <w:r>
          <w:rPr>
            <w:rFonts w:ascii="Times New Roman"/>
            <w:color w:val="0000FF"/>
            <w:sz w:val="18"/>
            <w:u w:val="single" w:color="0000FF"/>
          </w:rPr>
          <w:t>control-policies.pdf</w:t>
        </w:r>
      </w:hyperlink>
    </w:p>
    <w:p w14:paraId="04C62CA8" w14:textId="77777777" w:rsidR="00CA13B6" w:rsidRDefault="00CA13B6" w:rsidP="00CA13B6">
      <w:pPr>
        <w:ind w:left="100" w:right="901"/>
        <w:rPr>
          <w:rFonts w:ascii="Times New Roman"/>
          <w:sz w:val="18"/>
        </w:rPr>
      </w:pPr>
      <w:r>
        <w:rPr>
          <w:rFonts w:ascii="Times New Roman"/>
          <w:sz w:val="18"/>
        </w:rPr>
        <w:t>Denton, F., Feaver, C., Muller, A., Robb, L., and Spencer, B. (1993). Testing Hypotheses About Rent Control: Final Report.</w:t>
      </w:r>
      <w:bookmarkStart w:id="34" w:name="_bookmark34"/>
      <w:bookmarkEnd w:id="34"/>
      <w:r>
        <w:rPr>
          <w:rFonts w:ascii="Times New Roman"/>
          <w:sz w:val="18"/>
        </w:rPr>
        <w:t xml:space="preserve"> Ottawa: CMHC. </w:t>
      </w:r>
      <w:hyperlink r:id="rId50">
        <w:r>
          <w:rPr>
            <w:rFonts w:ascii="Times New Roman"/>
            <w:color w:val="0000FF"/>
            <w:sz w:val="18"/>
            <w:u w:val="single" w:color="0000FF"/>
          </w:rPr>
          <w:t>https://publications.gc.ca/collections/collection_2018/schl-cmhc/nh15/NH15-762-1994-eng.pdf</w:t>
        </w:r>
      </w:hyperlink>
    </w:p>
    <w:p w14:paraId="41ABCD5F" w14:textId="77777777" w:rsidR="00CA13B6" w:rsidRDefault="00CA13B6" w:rsidP="00CA13B6">
      <w:pPr>
        <w:ind w:left="100" w:right="846"/>
        <w:rPr>
          <w:rFonts w:ascii="Times New Roman"/>
          <w:sz w:val="18"/>
        </w:rPr>
      </w:pPr>
      <w:r>
        <w:rPr>
          <w:rFonts w:ascii="Times New Roman"/>
          <w:position w:val="6"/>
          <w:sz w:val="12"/>
        </w:rPr>
        <w:t xml:space="preserve">28 </w:t>
      </w:r>
      <w:r>
        <w:rPr>
          <w:rFonts w:ascii="Times New Roman"/>
          <w:sz w:val="18"/>
        </w:rPr>
        <w:t xml:space="preserve">Statistics Canada. (2024). Table 46-10-0081-01: Housing suitability and dwelling condition, by tenure including social and affordable housing. Ottawa: Statistics Canada. </w:t>
      </w:r>
      <w:hyperlink r:id="rId51">
        <w:r>
          <w:rPr>
            <w:rFonts w:ascii="Times New Roman"/>
            <w:color w:val="0000FF"/>
            <w:sz w:val="18"/>
            <w:u w:val="single" w:color="0000FF"/>
          </w:rPr>
          <w:t>https://www150.statcan.gc.ca/t1/tbl1/en/tv.action?pid=4610008101</w:t>
        </w:r>
      </w:hyperlink>
    </w:p>
    <w:p w14:paraId="76F29305" w14:textId="77777777" w:rsidR="00CA13B6" w:rsidRDefault="00CA13B6" w:rsidP="00CA13B6">
      <w:pPr>
        <w:ind w:left="100" w:right="578"/>
        <w:rPr>
          <w:rFonts w:ascii="Times New Roman" w:hAnsi="Times New Roman"/>
          <w:sz w:val="18"/>
        </w:rPr>
      </w:pPr>
      <w:bookmarkStart w:id="35" w:name="_bookmark35"/>
      <w:bookmarkEnd w:id="35"/>
      <w:r>
        <w:rPr>
          <w:rFonts w:ascii="Times New Roman" w:hAnsi="Times New Roman"/>
          <w:position w:val="6"/>
          <w:sz w:val="12"/>
        </w:rPr>
        <w:t xml:space="preserve">29 </w:t>
      </w:r>
      <w:r>
        <w:rPr>
          <w:rFonts w:ascii="Times New Roman" w:hAnsi="Times New Roman"/>
          <w:sz w:val="18"/>
        </w:rPr>
        <w:t>Donaldson, J., Kandyba, L., Wang, D. (2026). Municipalities Under Pressure One Year Later: An Update on the Human and Financial Cost of Ontario’s Homelessness Crisis. HelpSeeker. https:/</w:t>
      </w:r>
      <w:hyperlink r:id="rId52">
        <w:r>
          <w:rPr>
            <w:rFonts w:ascii="Times New Roman" w:hAnsi="Times New Roman"/>
            <w:sz w:val="18"/>
          </w:rPr>
          <w:t>/www</w:t>
        </w:r>
      </w:hyperlink>
      <w:r>
        <w:rPr>
          <w:rFonts w:ascii="Times New Roman" w:hAnsi="Times New Roman"/>
          <w:sz w:val="18"/>
        </w:rPr>
        <w:t>.</w:t>
      </w:r>
      <w:hyperlink r:id="rId53">
        <w:r>
          <w:rPr>
            <w:rFonts w:ascii="Times New Roman" w:hAnsi="Times New Roman"/>
            <w:sz w:val="18"/>
          </w:rPr>
          <w:t>amo.on.ca/sites/default/files/assets/DOCUMENTS/Reports/2026/MunisUnderPressure1YearUpdateReport2026-01-</w:t>
        </w:r>
      </w:hyperlink>
      <w:r>
        <w:rPr>
          <w:rFonts w:ascii="Times New Roman" w:hAnsi="Times New Roman"/>
          <w:sz w:val="18"/>
        </w:rPr>
        <w:t xml:space="preserve"> 13.pdf</w:t>
      </w:r>
    </w:p>
    <w:p w14:paraId="52FF1B08" w14:textId="77777777" w:rsidR="00CA13B6" w:rsidRDefault="00CA13B6" w:rsidP="00CA13B6">
      <w:pPr>
        <w:ind w:left="100" w:right="687"/>
        <w:rPr>
          <w:rFonts w:ascii="Times New Roman" w:hAnsi="Times New Roman"/>
          <w:sz w:val="18"/>
        </w:rPr>
      </w:pPr>
      <w:r>
        <w:rPr>
          <w:rFonts w:ascii="Times New Roman" w:hAnsi="Times New Roman"/>
          <w:sz w:val="18"/>
        </w:rPr>
        <w:t xml:space="preserve">Donaldson, J., Wang, D., Escamilla, C., and Turner, A. (2025). </w:t>
      </w:r>
      <w:r>
        <w:rPr>
          <w:rFonts w:ascii="Times New Roman" w:hAnsi="Times New Roman"/>
          <w:i/>
          <w:sz w:val="18"/>
        </w:rPr>
        <w:t>Municipalities under pressure: The human and financial cost of Ontario’s homelessness crisis</w:t>
      </w:r>
      <w:r>
        <w:rPr>
          <w:rFonts w:ascii="Times New Roman" w:hAnsi="Times New Roman"/>
          <w:sz w:val="18"/>
        </w:rPr>
        <w:t xml:space="preserve">. HelpSeeker, in partnership with Association of Municipalities of Ontario (AMO), the Ontario Municipal Social Services Association (OMSSA), and the Northern Ontario Service Deliverers Association (NOSDA). </w:t>
      </w:r>
      <w:hyperlink r:id="rId54">
        <w:r>
          <w:rPr>
            <w:rFonts w:ascii="Times New Roman" w:hAnsi="Times New Roman"/>
            <w:color w:val="0000FF"/>
            <w:sz w:val="18"/>
            <w:u w:val="single" w:color="0000FF"/>
          </w:rPr>
          <w:t>https://www.amo.on.ca/sites/default/files/assets/DOCUMENTS/Reports/2025/2025-01-08-</w:t>
        </w:r>
      </w:hyperlink>
      <w:r>
        <w:rPr>
          <w:rFonts w:ascii="Times New Roman" w:hAnsi="Times New Roman"/>
          <w:color w:val="0000FF"/>
          <w:sz w:val="18"/>
        </w:rPr>
        <w:t xml:space="preserve"> </w:t>
      </w:r>
      <w:hyperlink r:id="rId55">
        <w:r>
          <w:rPr>
            <w:rFonts w:ascii="Times New Roman" w:hAnsi="Times New Roman"/>
            <w:color w:val="0000FF"/>
            <w:sz w:val="18"/>
            <w:u w:val="single" w:color="0000FF"/>
          </w:rPr>
          <w:t>EndingChronicHomelessnessinOntario.pdf</w:t>
        </w:r>
      </w:hyperlink>
    </w:p>
    <w:p w14:paraId="1FBCD142" w14:textId="77777777" w:rsidR="00CA13B6" w:rsidRDefault="00CA13B6" w:rsidP="00CA13B6">
      <w:pPr>
        <w:ind w:left="100" w:right="525"/>
        <w:rPr>
          <w:rFonts w:ascii="Times New Roman" w:hAnsi="Times New Roman"/>
          <w:sz w:val="18"/>
        </w:rPr>
      </w:pPr>
      <w:bookmarkStart w:id="36" w:name="_bookmark36"/>
      <w:bookmarkEnd w:id="36"/>
      <w:r>
        <w:rPr>
          <w:rFonts w:ascii="Times New Roman" w:hAnsi="Times New Roman"/>
          <w:position w:val="6"/>
          <w:sz w:val="12"/>
        </w:rPr>
        <w:t xml:space="preserve">30 </w:t>
      </w:r>
      <w:r>
        <w:rPr>
          <w:rFonts w:ascii="Times New Roman" w:hAnsi="Times New Roman"/>
          <w:sz w:val="18"/>
        </w:rPr>
        <w:t xml:space="preserve">Donaldson, J., Wang, D., Escamilla, C., and Turner, A. (2025). </w:t>
      </w:r>
      <w:r>
        <w:rPr>
          <w:rFonts w:ascii="Times New Roman" w:hAnsi="Times New Roman"/>
          <w:i/>
          <w:sz w:val="18"/>
        </w:rPr>
        <w:t>Municipalities under pressure: The human and financial cost of Ontario’s homelessness crisis</w:t>
      </w:r>
      <w:r>
        <w:rPr>
          <w:rFonts w:ascii="Times New Roman" w:hAnsi="Times New Roman"/>
          <w:sz w:val="18"/>
        </w:rPr>
        <w:t xml:space="preserve">. HelpSeeker, in partnership with Association of Municipalities of Ontario (AMO), the Ontario Municipal Social Services Association (OMSSA), and the Northern Ontario Service Deliverers Association (NOSDA). </w:t>
      </w:r>
      <w:hyperlink r:id="rId56">
        <w:r>
          <w:rPr>
            <w:rFonts w:ascii="Times New Roman" w:hAnsi="Times New Roman"/>
            <w:color w:val="0000FF"/>
            <w:sz w:val="18"/>
            <w:u w:val="single" w:color="0000FF"/>
          </w:rPr>
          <w:t>https://www.amo.on.ca/sites/default/files/assets/DOCUMENTS/Reports/2025/2025-01-08-</w:t>
        </w:r>
      </w:hyperlink>
      <w:r>
        <w:rPr>
          <w:rFonts w:ascii="Times New Roman" w:hAnsi="Times New Roman"/>
          <w:color w:val="0000FF"/>
          <w:sz w:val="18"/>
        </w:rPr>
        <w:t xml:space="preserve"> </w:t>
      </w:r>
      <w:hyperlink r:id="rId57">
        <w:r>
          <w:rPr>
            <w:rFonts w:ascii="Times New Roman" w:hAnsi="Times New Roman"/>
            <w:color w:val="0000FF"/>
            <w:sz w:val="18"/>
            <w:u w:val="single" w:color="0000FF"/>
          </w:rPr>
          <w:t>EndingChronicHomelessnessinOntario.pdf</w:t>
        </w:r>
      </w:hyperlink>
    </w:p>
    <w:p w14:paraId="29B4922A" w14:textId="77777777" w:rsidR="00CA13B6" w:rsidRDefault="00CA13B6" w:rsidP="00CA13B6">
      <w:pPr>
        <w:ind w:left="100" w:right="645"/>
        <w:rPr>
          <w:rFonts w:ascii="Times New Roman" w:hAnsi="Times New Roman"/>
          <w:sz w:val="18"/>
        </w:rPr>
      </w:pPr>
      <w:bookmarkStart w:id="37" w:name="_bookmark37"/>
      <w:bookmarkEnd w:id="37"/>
      <w:r>
        <w:rPr>
          <w:rFonts w:ascii="Times New Roman" w:hAnsi="Times New Roman"/>
          <w:position w:val="6"/>
          <w:sz w:val="12"/>
        </w:rPr>
        <w:t xml:space="preserve">31 </w:t>
      </w:r>
      <w:r>
        <w:rPr>
          <w:rFonts w:ascii="Times New Roman" w:hAnsi="Times New Roman"/>
          <w:sz w:val="18"/>
        </w:rPr>
        <w:t xml:space="preserve">Pinkerton, C. (2024, August 26). </w:t>
      </w:r>
      <w:r>
        <w:rPr>
          <w:rFonts w:ascii="Times New Roman" w:hAnsi="Times New Roman"/>
          <w:i/>
          <w:sz w:val="18"/>
        </w:rPr>
        <w:t xml:space="preserve">The Ford government says its data was botched — so how many people are homeless in Ontario? The Trillium. </w:t>
      </w:r>
      <w:hyperlink r:id="rId58">
        <w:r>
          <w:rPr>
            <w:rFonts w:ascii="Times New Roman" w:hAnsi="Times New Roman"/>
            <w:color w:val="0000FF"/>
            <w:sz w:val="18"/>
            <w:u w:val="single" w:color="0000FF"/>
          </w:rPr>
          <w:t>https://www.thetrillium.ca/news/housing/the-ford-government-says-its-data-was-botched-so-how-many-</w:t>
        </w:r>
      </w:hyperlink>
      <w:r>
        <w:rPr>
          <w:rFonts w:ascii="Times New Roman" w:hAnsi="Times New Roman"/>
          <w:color w:val="0000FF"/>
          <w:sz w:val="18"/>
        </w:rPr>
        <w:t xml:space="preserve"> </w:t>
      </w:r>
      <w:hyperlink r:id="rId59">
        <w:r>
          <w:rPr>
            <w:rFonts w:ascii="Times New Roman" w:hAnsi="Times New Roman"/>
            <w:color w:val="0000FF"/>
            <w:sz w:val="18"/>
            <w:u w:val="single" w:color="0000FF"/>
          </w:rPr>
          <w:t>people-are-homeless-in-ontario-9435686</w:t>
        </w:r>
      </w:hyperlink>
    </w:p>
    <w:p w14:paraId="0F583026" w14:textId="77777777" w:rsidR="00CA13B6" w:rsidRDefault="00CA13B6" w:rsidP="00CA13B6">
      <w:pPr>
        <w:ind w:left="100" w:right="825"/>
        <w:rPr>
          <w:rFonts w:ascii="Times New Roman"/>
          <w:sz w:val="18"/>
        </w:rPr>
      </w:pPr>
      <w:bookmarkStart w:id="38" w:name="_bookmark38"/>
      <w:bookmarkEnd w:id="38"/>
      <w:r>
        <w:rPr>
          <w:rFonts w:ascii="Times New Roman"/>
          <w:position w:val="6"/>
          <w:sz w:val="12"/>
        </w:rPr>
        <w:t xml:space="preserve">32 </w:t>
      </w:r>
      <w:r>
        <w:rPr>
          <w:rFonts w:ascii="Times New Roman"/>
          <w:sz w:val="18"/>
        </w:rPr>
        <w:t xml:space="preserve">Canadian Mental Health Association. (2022, May 24). </w:t>
      </w:r>
      <w:r>
        <w:rPr>
          <w:rFonts w:ascii="Times New Roman"/>
          <w:i/>
          <w:sz w:val="18"/>
        </w:rPr>
        <w:t>CMHA election monitor: Supportive housing investment strengthens people and the economy</w:t>
      </w:r>
      <w:r>
        <w:rPr>
          <w:rFonts w:ascii="Times New Roman"/>
          <w:sz w:val="18"/>
        </w:rPr>
        <w:t xml:space="preserve">. </w:t>
      </w:r>
      <w:hyperlink r:id="rId60">
        <w:r>
          <w:rPr>
            <w:rFonts w:ascii="Times New Roman"/>
            <w:color w:val="0000FF"/>
            <w:sz w:val="18"/>
            <w:u w:val="single" w:color="0000FF"/>
          </w:rPr>
          <w:t>https://ontario.cmha.ca/news/cmha-election-monitor-supportive-housing-investment-strengthens-</w:t>
        </w:r>
      </w:hyperlink>
      <w:r>
        <w:rPr>
          <w:rFonts w:ascii="Times New Roman"/>
          <w:color w:val="0000FF"/>
          <w:sz w:val="18"/>
        </w:rPr>
        <w:t xml:space="preserve"> </w:t>
      </w:r>
      <w:hyperlink r:id="rId61">
        <w:r>
          <w:rPr>
            <w:rFonts w:ascii="Times New Roman"/>
            <w:color w:val="0000FF"/>
            <w:sz w:val="18"/>
            <w:u w:val="single" w:color="0000FF"/>
          </w:rPr>
          <w:t>people-and-the-economy/</w:t>
        </w:r>
      </w:hyperlink>
    </w:p>
    <w:p w14:paraId="453BE1F1" w14:textId="77777777" w:rsidR="00CA13B6" w:rsidRDefault="00CA13B6" w:rsidP="00CA13B6">
      <w:pPr>
        <w:spacing w:line="206" w:lineRule="exact"/>
        <w:ind w:left="100"/>
        <w:rPr>
          <w:rFonts w:ascii="Times New Roman"/>
          <w:sz w:val="18"/>
        </w:rPr>
      </w:pPr>
      <w:bookmarkStart w:id="39" w:name="_bookmark39"/>
      <w:bookmarkEnd w:id="39"/>
      <w:r>
        <w:rPr>
          <w:rFonts w:ascii="Times New Roman"/>
          <w:position w:val="6"/>
          <w:sz w:val="12"/>
        </w:rPr>
        <w:t xml:space="preserve">33 </w:t>
      </w:r>
      <w:r>
        <w:rPr>
          <w:rFonts w:ascii="Times New Roman"/>
          <w:sz w:val="18"/>
        </w:rPr>
        <w:t>Addictions and Mental Health Ontario. (2026) AMHO Submission to the Ontario</w:t>
      </w:r>
    </w:p>
    <w:p w14:paraId="2557C6F9" w14:textId="77777777" w:rsidR="00CA13B6" w:rsidRDefault="00CA13B6" w:rsidP="00CA13B6">
      <w:pPr>
        <w:spacing w:line="205" w:lineRule="exact"/>
        <w:ind w:left="100"/>
        <w:rPr>
          <w:rFonts w:ascii="Times New Roman"/>
          <w:sz w:val="18"/>
        </w:rPr>
      </w:pPr>
      <w:r>
        <w:rPr>
          <w:rFonts w:ascii="Times New Roman"/>
          <w:sz w:val="18"/>
        </w:rPr>
        <w:t>Pre-Budget Consultations 2026. https://amho.ca/wp-content/uploads/2025/12/AMHO-2026-Budget-Submission.pdf</w:t>
      </w:r>
    </w:p>
    <w:p w14:paraId="337911EE" w14:textId="77777777" w:rsidR="00CA13B6" w:rsidRDefault="00CA13B6" w:rsidP="00CA13B6">
      <w:pPr>
        <w:ind w:left="100" w:right="1190"/>
        <w:rPr>
          <w:rFonts w:ascii="Times New Roman"/>
          <w:sz w:val="18"/>
        </w:rPr>
      </w:pPr>
      <w:bookmarkStart w:id="40" w:name="_bookmark40"/>
      <w:bookmarkEnd w:id="40"/>
      <w:r>
        <w:rPr>
          <w:rFonts w:ascii="Times New Roman"/>
          <w:position w:val="6"/>
          <w:sz w:val="12"/>
        </w:rPr>
        <w:t xml:space="preserve">34 </w:t>
      </w:r>
      <w:r>
        <w:rPr>
          <w:rFonts w:ascii="Times New Roman"/>
          <w:sz w:val="18"/>
        </w:rPr>
        <w:t xml:space="preserve">AMO. (2024). </w:t>
      </w:r>
      <w:r>
        <w:rPr>
          <w:rFonts w:ascii="Times New Roman"/>
          <w:i/>
          <w:sz w:val="18"/>
        </w:rPr>
        <w:t xml:space="preserve">Homeless Encampments in Ontario: A Municipal Perspective. </w:t>
      </w:r>
      <w:r>
        <w:rPr>
          <w:rFonts w:ascii="Times New Roman"/>
          <w:sz w:val="18"/>
        </w:rPr>
        <w:t xml:space="preserve">Toronto: AMO. </w:t>
      </w:r>
      <w:hyperlink r:id="rId62">
        <w:r>
          <w:rPr>
            <w:rFonts w:ascii="Times New Roman"/>
            <w:color w:val="0000FF"/>
            <w:sz w:val="18"/>
            <w:u w:val="single" w:color="0000FF"/>
          </w:rPr>
          <w:t>https://www.amo.on.ca/sites/default/files/assets/DOCUMENTS/Homelessness/2024/AMO_Homeless-Encampments-in-</w:t>
        </w:r>
      </w:hyperlink>
      <w:r>
        <w:rPr>
          <w:rFonts w:ascii="Times New Roman"/>
          <w:color w:val="0000FF"/>
          <w:sz w:val="18"/>
        </w:rPr>
        <w:t xml:space="preserve"> </w:t>
      </w:r>
      <w:hyperlink r:id="rId63">
        <w:r>
          <w:rPr>
            <w:rFonts w:ascii="Times New Roman"/>
            <w:color w:val="0000FF"/>
            <w:sz w:val="18"/>
            <w:u w:val="single" w:color="0000FF"/>
          </w:rPr>
          <w:t>Ontario_2024-07-02.pdf</w:t>
        </w:r>
      </w:hyperlink>
    </w:p>
    <w:p w14:paraId="46B19846" w14:textId="77777777" w:rsidR="00CA13B6" w:rsidRDefault="00CA13B6" w:rsidP="00CA13B6">
      <w:pPr>
        <w:ind w:left="100" w:right="540"/>
        <w:rPr>
          <w:rFonts w:ascii="Times New Roman" w:hAnsi="Times New Roman"/>
          <w:i/>
          <w:sz w:val="18"/>
        </w:rPr>
      </w:pPr>
      <w:r>
        <w:rPr>
          <w:rFonts w:ascii="Times New Roman" w:hAnsi="Times New Roman"/>
          <w:sz w:val="18"/>
        </w:rPr>
        <w:t xml:space="preserve">Pinkerton, C. (Aug 26, 2024). The Ford government says its data was botched — so how many people are homeless in Ontario? </w:t>
      </w:r>
      <w:r>
        <w:rPr>
          <w:rFonts w:ascii="Times New Roman" w:hAnsi="Times New Roman"/>
          <w:i/>
          <w:sz w:val="18"/>
        </w:rPr>
        <w:t xml:space="preserve">The Trillium. </w:t>
      </w:r>
      <w:hyperlink r:id="rId64">
        <w:r>
          <w:rPr>
            <w:rFonts w:ascii="Times New Roman" w:hAnsi="Times New Roman"/>
            <w:i/>
            <w:color w:val="0000FF"/>
            <w:sz w:val="18"/>
            <w:u w:val="single" w:color="0000FF"/>
          </w:rPr>
          <w:t>https://www.thetrillium.ca/news/housing/the-ford-government-says-its-data-was-botched-so-how-many-people-are-</w:t>
        </w:r>
      </w:hyperlink>
      <w:r>
        <w:rPr>
          <w:rFonts w:ascii="Times New Roman" w:hAnsi="Times New Roman"/>
          <w:i/>
          <w:color w:val="0000FF"/>
          <w:sz w:val="18"/>
        </w:rPr>
        <w:t xml:space="preserve"> </w:t>
      </w:r>
      <w:hyperlink r:id="rId65">
        <w:r>
          <w:rPr>
            <w:rFonts w:ascii="Times New Roman" w:hAnsi="Times New Roman"/>
            <w:i/>
            <w:color w:val="0000FF"/>
            <w:sz w:val="18"/>
            <w:u w:val="single" w:color="0000FF"/>
          </w:rPr>
          <w:t>homeless-in-ontario-9435686</w:t>
        </w:r>
      </w:hyperlink>
    </w:p>
    <w:p w14:paraId="262B93D7" w14:textId="77777777" w:rsidR="00CA13B6" w:rsidRDefault="00CA13B6" w:rsidP="00CA13B6">
      <w:pPr>
        <w:spacing w:line="205" w:lineRule="exact"/>
        <w:ind w:left="100"/>
        <w:rPr>
          <w:rFonts w:ascii="Times New Roman"/>
          <w:sz w:val="18"/>
        </w:rPr>
      </w:pPr>
      <w:bookmarkStart w:id="41" w:name="_bookmark41"/>
      <w:bookmarkEnd w:id="41"/>
      <w:r>
        <w:rPr>
          <w:rFonts w:ascii="Times New Roman"/>
          <w:position w:val="6"/>
          <w:sz w:val="12"/>
        </w:rPr>
        <w:t xml:space="preserve">35 </w:t>
      </w:r>
      <w:r>
        <w:rPr>
          <w:rFonts w:ascii="Times New Roman"/>
          <w:sz w:val="18"/>
        </w:rPr>
        <w:t>Donaldson, J., Kandyba, L., Wang, D. (2026). Municipalities Under Pressure One Year Later: An Update on the Human and</w:t>
      </w:r>
    </w:p>
    <w:p w14:paraId="70D373D9" w14:textId="77777777" w:rsidR="00CA13B6" w:rsidRDefault="00CA13B6" w:rsidP="00CA13B6">
      <w:pPr>
        <w:ind w:left="100"/>
        <w:rPr>
          <w:rFonts w:ascii="Times New Roman" w:hAnsi="Times New Roman"/>
          <w:sz w:val="18"/>
        </w:rPr>
      </w:pPr>
      <w:r>
        <w:rPr>
          <w:rFonts w:ascii="Times New Roman" w:hAnsi="Times New Roman"/>
          <w:sz w:val="18"/>
        </w:rPr>
        <w:t>Financial Cost of Ontario’s Homelessness Crisis. HelpSeeker.</w:t>
      </w:r>
    </w:p>
    <w:p w14:paraId="7B103660" w14:textId="77777777" w:rsidR="00CA13B6" w:rsidRDefault="00CA13B6" w:rsidP="00CA13B6">
      <w:pPr>
        <w:rPr>
          <w:rFonts w:ascii="Times New Roman" w:hAnsi="Times New Roman"/>
          <w:sz w:val="18"/>
        </w:rPr>
        <w:sectPr w:rsidR="00CA13B6" w:rsidSect="00CA13B6">
          <w:pgSz w:w="12240" w:h="15840"/>
          <w:pgMar w:top="1500" w:right="920" w:bottom="1160" w:left="1340" w:header="0" w:footer="969" w:gutter="0"/>
          <w:cols w:space="720"/>
        </w:sectPr>
      </w:pPr>
    </w:p>
    <w:p w14:paraId="38030C78" w14:textId="77777777" w:rsidR="00CA13B6" w:rsidRDefault="00CA13B6" w:rsidP="00CA13B6">
      <w:pPr>
        <w:pStyle w:val="BodyText"/>
        <w:spacing w:before="7"/>
        <w:rPr>
          <w:rFonts w:ascii="Times New Roman"/>
          <w:sz w:val="6"/>
        </w:rPr>
      </w:pPr>
    </w:p>
    <w:p w14:paraId="68021A5A" w14:textId="77777777" w:rsidR="00CA13B6" w:rsidRDefault="00CA13B6" w:rsidP="00CA13B6">
      <w:pPr>
        <w:pStyle w:val="BodyText"/>
        <w:spacing w:line="20" w:lineRule="exact"/>
        <w:ind w:left="95"/>
        <w:rPr>
          <w:rFonts w:ascii="Times New Roman"/>
          <w:sz w:val="2"/>
        </w:rPr>
      </w:pPr>
      <w:r>
        <w:rPr>
          <w:rFonts w:ascii="Times New Roman"/>
          <w:sz w:val="2"/>
        </w:rPr>
      </w:r>
      <w:r>
        <w:rPr>
          <w:rFonts w:ascii="Times New Roman"/>
          <w:sz w:val="2"/>
        </w:rPr>
        <w:pict w14:anchorId="3CA2FD26">
          <v:group id="_x0000_s2069" style="width:468.1pt;height:.5pt;mso-position-horizontal-relative:char;mso-position-vertical-relative:line" coordsize="9362,10">
            <v:line id="_x0000_s2070" style="position:absolute" from="0,5" to="9361,5" strokeweight=".48pt"/>
            <w10:anchorlock/>
          </v:group>
        </w:pict>
      </w:r>
    </w:p>
    <w:p w14:paraId="33B9E8D4" w14:textId="77777777" w:rsidR="00CA13B6" w:rsidRDefault="00CA13B6" w:rsidP="00CA13B6">
      <w:pPr>
        <w:spacing w:before="74"/>
        <w:ind w:left="100" w:right="566"/>
        <w:rPr>
          <w:rFonts w:ascii="Times New Roman"/>
          <w:sz w:val="18"/>
        </w:rPr>
      </w:pPr>
      <w:r>
        <w:rPr>
          <w:rFonts w:ascii="Times New Roman"/>
          <w:sz w:val="18"/>
        </w:rPr>
        <w:t>https:/</w:t>
      </w:r>
      <w:hyperlink r:id="rId66">
        <w:r>
          <w:rPr>
            <w:rFonts w:ascii="Times New Roman"/>
            <w:sz w:val="18"/>
          </w:rPr>
          <w:t>/www</w:t>
        </w:r>
      </w:hyperlink>
      <w:r>
        <w:rPr>
          <w:rFonts w:ascii="Times New Roman"/>
          <w:sz w:val="18"/>
        </w:rPr>
        <w:t>.</w:t>
      </w:r>
      <w:hyperlink r:id="rId67">
        <w:r>
          <w:rPr>
            <w:rFonts w:ascii="Times New Roman"/>
            <w:sz w:val="18"/>
          </w:rPr>
          <w:t>amo.on.ca/sites/default/files/assets/DOCUMENTS/Reports/2026/MunisUnderPressure1YearUpdateReport2026-01-</w:t>
        </w:r>
      </w:hyperlink>
      <w:r>
        <w:rPr>
          <w:rFonts w:ascii="Times New Roman"/>
          <w:sz w:val="18"/>
        </w:rPr>
        <w:t xml:space="preserve"> 13.pdf</w:t>
      </w:r>
    </w:p>
    <w:p w14:paraId="7E25E9B3" w14:textId="77777777" w:rsidR="00CA13B6" w:rsidRDefault="00CA13B6" w:rsidP="00CA13B6">
      <w:pPr>
        <w:spacing w:line="242" w:lineRule="auto"/>
        <w:ind w:left="100" w:right="1610"/>
        <w:rPr>
          <w:rFonts w:ascii="Times New Roman" w:hAnsi="Times New Roman"/>
          <w:sz w:val="18"/>
        </w:rPr>
      </w:pPr>
      <w:bookmarkStart w:id="42" w:name="_bookmark42"/>
      <w:bookmarkEnd w:id="42"/>
      <w:r>
        <w:rPr>
          <w:rFonts w:ascii="Times New Roman" w:hAnsi="Times New Roman"/>
          <w:position w:val="6"/>
          <w:sz w:val="12"/>
        </w:rPr>
        <w:t xml:space="preserve">36 </w:t>
      </w:r>
      <w:r>
        <w:rPr>
          <w:rFonts w:ascii="Times New Roman" w:hAnsi="Times New Roman"/>
          <w:sz w:val="18"/>
        </w:rPr>
        <w:t xml:space="preserve">ACTO. (2022). Access to Justice and Delays at the Landlord and Tenant Board – FAQ. </w:t>
      </w:r>
      <w:hyperlink r:id="rId68">
        <w:r>
          <w:rPr>
            <w:rFonts w:ascii="Times New Roman" w:hAnsi="Times New Roman"/>
            <w:color w:val="0000FF"/>
            <w:sz w:val="18"/>
            <w:u w:val="single" w:color="0000FF"/>
          </w:rPr>
          <w:t>https://www.acto.ca/for-</w:t>
        </w:r>
      </w:hyperlink>
      <w:r>
        <w:rPr>
          <w:rFonts w:ascii="Times New Roman" w:hAnsi="Times New Roman"/>
          <w:color w:val="0000FF"/>
          <w:sz w:val="18"/>
        </w:rPr>
        <w:t xml:space="preserve"> </w:t>
      </w:r>
      <w:hyperlink r:id="rId69">
        <w:r>
          <w:rPr>
            <w:rFonts w:ascii="Times New Roman" w:hAnsi="Times New Roman"/>
            <w:color w:val="0000FF"/>
            <w:sz w:val="18"/>
            <w:u w:val="single" w:color="0000FF"/>
          </w:rPr>
          <w:t>tenants/landlord-and-tenant-board-frequently-asked-questions/</w:t>
        </w:r>
      </w:hyperlink>
    </w:p>
    <w:p w14:paraId="0F836C52" w14:textId="77777777" w:rsidR="00CA13B6" w:rsidRDefault="00CA13B6" w:rsidP="00CA13B6">
      <w:pPr>
        <w:ind w:left="100" w:right="2712"/>
        <w:rPr>
          <w:rFonts w:ascii="Times New Roman"/>
          <w:i/>
          <w:sz w:val="18"/>
        </w:rPr>
      </w:pPr>
      <w:bookmarkStart w:id="43" w:name="_bookmark43"/>
      <w:bookmarkEnd w:id="43"/>
      <w:r>
        <w:rPr>
          <w:rFonts w:ascii="Times New Roman"/>
          <w:position w:val="6"/>
          <w:sz w:val="12"/>
        </w:rPr>
        <w:t xml:space="preserve">37 </w:t>
      </w:r>
      <w:r>
        <w:rPr>
          <w:rFonts w:ascii="Times New Roman"/>
          <w:sz w:val="18"/>
        </w:rPr>
        <w:t xml:space="preserve">Miller, R. (Jun 6, 2016). Province reviews decision to close 9 ServiceOntario outlets. </w:t>
      </w:r>
      <w:r>
        <w:rPr>
          <w:rFonts w:ascii="Times New Roman"/>
          <w:i/>
          <w:sz w:val="18"/>
        </w:rPr>
        <w:t xml:space="preserve">CBC News. </w:t>
      </w:r>
      <w:hyperlink r:id="rId70">
        <w:r>
          <w:rPr>
            <w:rFonts w:ascii="Times New Roman"/>
            <w:i/>
            <w:color w:val="0000FF"/>
            <w:sz w:val="18"/>
            <w:u w:val="single" w:color="0000FF"/>
          </w:rPr>
          <w:t>https://www.cbc.ca/news/canada/ottawa/serviceontario-closure-review-1.3619453</w:t>
        </w:r>
      </w:hyperlink>
    </w:p>
    <w:p w14:paraId="3FDF35AB" w14:textId="77777777" w:rsidR="00CA13B6" w:rsidRDefault="00CA13B6" w:rsidP="00CA13B6">
      <w:pPr>
        <w:ind w:left="100" w:right="704"/>
        <w:rPr>
          <w:rFonts w:ascii="Times New Roman"/>
          <w:sz w:val="18"/>
        </w:rPr>
      </w:pPr>
      <w:r>
        <w:rPr>
          <w:rFonts w:ascii="Times New Roman"/>
          <w:sz w:val="18"/>
        </w:rPr>
        <w:t xml:space="preserve">National Post Staff. (Jan 11, 2024). Ontario government's partnership with ServiceOntario and Staples Canada raises questions. </w:t>
      </w:r>
      <w:hyperlink r:id="rId71">
        <w:r>
          <w:rPr>
            <w:rFonts w:ascii="Times New Roman"/>
            <w:color w:val="0000FF"/>
            <w:sz w:val="18"/>
            <w:u w:val="single" w:color="0000FF"/>
          </w:rPr>
          <w:t>https://nationalpost.com/news/service-ontario-closures-staples-canada</w:t>
        </w:r>
      </w:hyperlink>
    </w:p>
    <w:p w14:paraId="711ABD94" w14:textId="77777777" w:rsidR="00CA13B6" w:rsidRDefault="00CA13B6" w:rsidP="00CA13B6">
      <w:pPr>
        <w:spacing w:line="207" w:lineRule="exact"/>
        <w:ind w:left="100"/>
        <w:rPr>
          <w:rFonts w:ascii="Times New Roman"/>
          <w:sz w:val="18"/>
        </w:rPr>
      </w:pPr>
      <w:r>
        <w:rPr>
          <w:rFonts w:ascii="Times New Roman"/>
          <w:sz w:val="18"/>
        </w:rPr>
        <w:t>Financial Accountability Office of Ontario (FAO). (2025). ServiceOntario Relocations: Financial Analysis of the Agreement with</w:t>
      </w:r>
    </w:p>
    <w:p w14:paraId="29E7DC84" w14:textId="77777777" w:rsidR="00CA13B6" w:rsidRDefault="00CA13B6" w:rsidP="00CA13B6">
      <w:pPr>
        <w:spacing w:line="237" w:lineRule="auto"/>
        <w:ind w:left="100" w:right="2846"/>
        <w:rPr>
          <w:rFonts w:ascii="Times New Roman" w:hAnsi="Times New Roman"/>
          <w:sz w:val="18"/>
        </w:rPr>
      </w:pPr>
      <w:bookmarkStart w:id="44" w:name="_bookmark44"/>
      <w:bookmarkEnd w:id="44"/>
      <w:r w:rsidRPr="00B47AD6">
        <w:rPr>
          <w:rFonts w:ascii="Times New Roman" w:hAnsi="Times New Roman"/>
          <w:sz w:val="18"/>
          <w:lang w:val="es-419"/>
        </w:rPr>
        <w:t xml:space="preserve">Staples Canada. Toronto: King’s Printer for Ontario. </w:t>
      </w:r>
      <w:hyperlink r:id="rId72">
        <w:r w:rsidRPr="00B47AD6">
          <w:rPr>
            <w:rFonts w:ascii="Times New Roman" w:hAnsi="Times New Roman"/>
            <w:color w:val="0000FF"/>
            <w:sz w:val="18"/>
            <w:u w:val="single" w:color="0000FF"/>
            <w:lang w:val="es-419"/>
          </w:rPr>
          <w:t>https://fao-on.org/en/report/serviceontario/</w:t>
        </w:r>
      </w:hyperlink>
      <w:r w:rsidRPr="00B47AD6">
        <w:rPr>
          <w:rFonts w:ascii="Times New Roman" w:hAnsi="Times New Roman"/>
          <w:color w:val="0000FF"/>
          <w:sz w:val="18"/>
          <w:lang w:val="es-419"/>
        </w:rPr>
        <w:t xml:space="preserve"> </w:t>
      </w:r>
      <w:r w:rsidRPr="00B47AD6">
        <w:rPr>
          <w:rFonts w:ascii="Times New Roman" w:hAnsi="Times New Roman"/>
          <w:position w:val="6"/>
          <w:sz w:val="12"/>
          <w:lang w:val="es-419"/>
        </w:rPr>
        <w:t xml:space="preserve">38 </w:t>
      </w:r>
      <w:r w:rsidRPr="00B47AD6">
        <w:rPr>
          <w:rFonts w:ascii="Times New Roman" w:hAnsi="Times New Roman"/>
          <w:sz w:val="18"/>
          <w:lang w:val="es-419"/>
        </w:rPr>
        <w:t xml:space="preserve">Tribunals Ontario. </w:t>
      </w:r>
      <w:r>
        <w:rPr>
          <w:rFonts w:ascii="Times New Roman" w:hAnsi="Times New Roman"/>
          <w:sz w:val="18"/>
        </w:rPr>
        <w:t xml:space="preserve">(2020). 2019-20 Annual Report. Toronto: King’s Printer for Ontario. </w:t>
      </w:r>
      <w:hyperlink r:id="rId73">
        <w:r>
          <w:rPr>
            <w:rFonts w:ascii="Times New Roman" w:hAnsi="Times New Roman"/>
            <w:color w:val="0000FF"/>
            <w:spacing w:val="-1"/>
            <w:sz w:val="18"/>
            <w:u w:val="single" w:color="0000FF"/>
          </w:rPr>
          <w:t>https://tribunalsontario.ca/documents/TO/Tribunals_Ontario_2019-2020_Annual_Report_EN.pdf</w:t>
        </w:r>
      </w:hyperlink>
      <w:bookmarkStart w:id="45" w:name="_bookmark45"/>
      <w:bookmarkEnd w:id="45"/>
      <w:r>
        <w:rPr>
          <w:rFonts w:ascii="Times New Roman" w:hAnsi="Times New Roman"/>
          <w:color w:val="0000FF"/>
          <w:spacing w:val="-1"/>
          <w:sz w:val="18"/>
        </w:rPr>
        <w:t xml:space="preserve"> </w:t>
      </w:r>
      <w:r>
        <w:rPr>
          <w:rFonts w:ascii="Times New Roman" w:hAnsi="Times New Roman"/>
          <w:position w:val="6"/>
          <w:sz w:val="12"/>
        </w:rPr>
        <w:t xml:space="preserve">39 </w:t>
      </w:r>
      <w:r>
        <w:rPr>
          <w:rFonts w:ascii="Times New Roman" w:hAnsi="Times New Roman"/>
          <w:sz w:val="18"/>
        </w:rPr>
        <w:t xml:space="preserve">Tribunals Ontario. (2024). 2023-24 Annual Report. Toronto: King’s Printer for Ontario. </w:t>
      </w:r>
      <w:hyperlink r:id="rId74">
        <w:r>
          <w:rPr>
            <w:rFonts w:ascii="Times New Roman" w:hAnsi="Times New Roman"/>
            <w:color w:val="0000FF"/>
            <w:sz w:val="18"/>
            <w:u w:val="single" w:color="0000FF"/>
          </w:rPr>
          <w:t>https://tribunalsontario.ca/documents/TO/Tribunals_Ontario_2023-2024_Annual_Report.html</w:t>
        </w:r>
      </w:hyperlink>
      <w:r>
        <w:rPr>
          <w:rFonts w:ascii="Times New Roman" w:hAnsi="Times New Roman"/>
          <w:color w:val="0000FF"/>
          <w:sz w:val="18"/>
        </w:rPr>
        <w:t xml:space="preserve"> </w:t>
      </w:r>
      <w:r>
        <w:rPr>
          <w:rFonts w:ascii="Times New Roman" w:hAnsi="Times New Roman"/>
          <w:sz w:val="18"/>
        </w:rPr>
        <w:t xml:space="preserve">Tribunals Ontario. (2023). 2022-23 Annual Report. Toronto: King’s Printer for Ontario. </w:t>
      </w:r>
      <w:hyperlink r:id="rId75">
        <w:r>
          <w:rPr>
            <w:rFonts w:ascii="Times New Roman" w:hAnsi="Times New Roman"/>
            <w:color w:val="0000FF"/>
            <w:sz w:val="18"/>
            <w:u w:val="single" w:color="0000FF"/>
          </w:rPr>
          <w:t>https://tribunalsontario.ca/documents/TO/Tribunals_Ontario_2022-2023_Annual_Report.html</w:t>
        </w:r>
      </w:hyperlink>
    </w:p>
    <w:p w14:paraId="3F037045" w14:textId="77777777" w:rsidR="00CA13B6" w:rsidRDefault="00CA13B6" w:rsidP="00CA13B6">
      <w:pPr>
        <w:ind w:left="100" w:right="1862"/>
        <w:rPr>
          <w:rFonts w:ascii="Times New Roman"/>
          <w:sz w:val="18"/>
        </w:rPr>
      </w:pPr>
      <w:bookmarkStart w:id="46" w:name="_bookmark46"/>
      <w:bookmarkEnd w:id="46"/>
      <w:r>
        <w:rPr>
          <w:rFonts w:ascii="Times New Roman"/>
          <w:position w:val="6"/>
          <w:sz w:val="12"/>
        </w:rPr>
        <w:t xml:space="preserve">40 </w:t>
      </w:r>
      <w:r>
        <w:rPr>
          <w:rFonts w:ascii="Times New Roman"/>
          <w:sz w:val="18"/>
        </w:rPr>
        <w:t xml:space="preserve">Tribunal Watch (2025) The Landlord and Tenant Board Annual Report: Progress but still a long way to go. </w:t>
      </w:r>
      <w:hyperlink r:id="rId76">
        <w:r>
          <w:rPr>
            <w:rFonts w:ascii="Times New Roman"/>
            <w:color w:val="0000FF"/>
            <w:sz w:val="18"/>
            <w:u w:val="single" w:color="0000FF"/>
          </w:rPr>
          <w:t>https://tribunalwatch.ca/2025/the-landlord-and-tenant-board-annual-report-progress-but-still-a-long-way-to-go/</w:t>
        </w:r>
      </w:hyperlink>
    </w:p>
    <w:p w14:paraId="01F6E960" w14:textId="77777777" w:rsidR="00CA13B6" w:rsidRDefault="00CA13B6" w:rsidP="00CA13B6">
      <w:pPr>
        <w:spacing w:line="206" w:lineRule="exact"/>
        <w:ind w:left="100"/>
        <w:rPr>
          <w:rFonts w:ascii="Times New Roman" w:hAnsi="Times New Roman"/>
          <w:sz w:val="18"/>
        </w:rPr>
      </w:pPr>
      <w:bookmarkStart w:id="47" w:name="_bookmark47"/>
      <w:bookmarkEnd w:id="47"/>
      <w:r>
        <w:rPr>
          <w:rFonts w:ascii="Times New Roman" w:hAnsi="Times New Roman"/>
          <w:position w:val="6"/>
          <w:sz w:val="12"/>
        </w:rPr>
        <w:t xml:space="preserve">41 </w:t>
      </w:r>
      <w:r>
        <w:rPr>
          <w:rFonts w:ascii="Times New Roman" w:hAnsi="Times New Roman"/>
          <w:sz w:val="18"/>
        </w:rPr>
        <w:t>TRREB. (2024). Breaking the Backlog: Restoring Fairness and Justice to Ontario’s Landlord and Tenant Board</w:t>
      </w:r>
    </w:p>
    <w:p w14:paraId="7863C756" w14:textId="77777777" w:rsidR="00CA13B6" w:rsidRDefault="00CA13B6" w:rsidP="00CA13B6">
      <w:pPr>
        <w:spacing w:line="206" w:lineRule="exact"/>
        <w:ind w:left="100"/>
        <w:rPr>
          <w:rFonts w:ascii="Times New Roman"/>
          <w:sz w:val="18"/>
        </w:rPr>
      </w:pPr>
      <w:hyperlink r:id="rId77">
        <w:r>
          <w:rPr>
            <w:rFonts w:ascii="Times New Roman"/>
            <w:color w:val="0000FF"/>
            <w:sz w:val="18"/>
            <w:u w:val="single" w:color="0000FF"/>
          </w:rPr>
          <w:t>https://realestatemagazine.ca/orea-calls-for-overhaul-of-broken-rental-system/</w:t>
        </w:r>
      </w:hyperlink>
    </w:p>
    <w:p w14:paraId="26E328AE" w14:textId="77777777" w:rsidR="00CA13B6" w:rsidRDefault="00CA13B6" w:rsidP="00CA13B6">
      <w:pPr>
        <w:ind w:left="100" w:right="1007"/>
        <w:rPr>
          <w:rFonts w:ascii="Times New Roman"/>
          <w:sz w:val="18"/>
        </w:rPr>
      </w:pPr>
      <w:bookmarkStart w:id="48" w:name="_bookmark48"/>
      <w:bookmarkEnd w:id="48"/>
      <w:r>
        <w:rPr>
          <w:rFonts w:ascii="Times New Roman"/>
          <w:position w:val="6"/>
          <w:sz w:val="12"/>
        </w:rPr>
        <w:t xml:space="preserve">42 </w:t>
      </w:r>
      <w:r>
        <w:rPr>
          <w:rFonts w:ascii="Times New Roman"/>
          <w:sz w:val="18"/>
        </w:rPr>
        <w:t xml:space="preserve">Beattie, S. (Dec 7, 2023). Ontario has a rental housing enforcement unit. It investigates a fraction of cases and fines even fewer. </w:t>
      </w:r>
      <w:r>
        <w:rPr>
          <w:rFonts w:ascii="Times New Roman"/>
          <w:i/>
          <w:sz w:val="18"/>
        </w:rPr>
        <w:t xml:space="preserve">CBC News. </w:t>
      </w:r>
      <w:hyperlink r:id="rId78">
        <w:r>
          <w:rPr>
            <w:rFonts w:ascii="Times New Roman"/>
            <w:color w:val="0000FF"/>
            <w:sz w:val="18"/>
            <w:u w:val="single" w:color="0000FF"/>
          </w:rPr>
          <w:t>https://www.cbc.ca/news/canada/hamilton/rheu-enforcement-1.7048391</w:t>
        </w:r>
      </w:hyperlink>
    </w:p>
    <w:p w14:paraId="739C5E1E" w14:textId="77777777" w:rsidR="00CA13B6" w:rsidRDefault="00CA13B6" w:rsidP="00CA13B6">
      <w:pPr>
        <w:spacing w:line="237" w:lineRule="auto"/>
        <w:ind w:left="100" w:right="580"/>
        <w:rPr>
          <w:rFonts w:ascii="Times New Roman"/>
          <w:sz w:val="18"/>
        </w:rPr>
      </w:pPr>
      <w:bookmarkStart w:id="49" w:name="_bookmark49"/>
      <w:bookmarkEnd w:id="49"/>
      <w:r>
        <w:rPr>
          <w:rFonts w:ascii="Times New Roman"/>
          <w:position w:val="6"/>
          <w:sz w:val="12"/>
        </w:rPr>
        <w:t xml:space="preserve">43 </w:t>
      </w:r>
      <w:r>
        <w:rPr>
          <w:rFonts w:ascii="Times New Roman"/>
          <w:sz w:val="18"/>
        </w:rPr>
        <w:t xml:space="preserve">Hauen, J. (Oct 4, 2023). Ontario's rental enforcement unit investigates a fraction of calls received. </w:t>
      </w:r>
      <w:r>
        <w:rPr>
          <w:rFonts w:ascii="Times New Roman"/>
          <w:i/>
          <w:sz w:val="18"/>
        </w:rPr>
        <w:t xml:space="preserve">Collingwood Today. </w:t>
      </w:r>
      <w:hyperlink r:id="rId79">
        <w:r>
          <w:rPr>
            <w:rFonts w:ascii="Times New Roman"/>
            <w:color w:val="0000FF"/>
            <w:spacing w:val="-1"/>
            <w:sz w:val="18"/>
            <w:u w:val="single" w:color="0000FF"/>
          </w:rPr>
          <w:t>https://www.collingwoodtoday.ca/local-news/ontarios-rental-enforcement-unit-investigates-a-fraction-of-calls-received-7639674</w:t>
        </w:r>
      </w:hyperlink>
      <w:bookmarkStart w:id="50" w:name="_bookmark50"/>
      <w:bookmarkEnd w:id="50"/>
      <w:r>
        <w:rPr>
          <w:rFonts w:ascii="Times New Roman"/>
          <w:color w:val="0000FF"/>
          <w:spacing w:val="-1"/>
          <w:sz w:val="18"/>
        </w:rPr>
        <w:t xml:space="preserve"> </w:t>
      </w:r>
      <w:r>
        <w:rPr>
          <w:rFonts w:ascii="Times New Roman"/>
          <w:position w:val="6"/>
          <w:sz w:val="12"/>
        </w:rPr>
        <w:t>44</w:t>
      </w:r>
      <w:r>
        <w:rPr>
          <w:rFonts w:ascii="Times New Roman"/>
          <w:spacing w:val="15"/>
          <w:position w:val="6"/>
          <w:sz w:val="12"/>
        </w:rPr>
        <w:t xml:space="preserve"> </w:t>
      </w:r>
      <w:r>
        <w:rPr>
          <w:rFonts w:ascii="Times New Roman"/>
          <w:sz w:val="18"/>
        </w:rPr>
        <w:t>Ibid.</w:t>
      </w:r>
    </w:p>
    <w:p w14:paraId="50D3ACF8" w14:textId="77777777" w:rsidR="00CA13B6" w:rsidRDefault="00CA13B6" w:rsidP="00CA13B6">
      <w:pPr>
        <w:ind w:left="100" w:right="682"/>
        <w:rPr>
          <w:rFonts w:ascii="Times New Roman"/>
          <w:sz w:val="18"/>
        </w:rPr>
      </w:pPr>
      <w:bookmarkStart w:id="51" w:name="_bookmark51"/>
      <w:bookmarkEnd w:id="51"/>
      <w:r>
        <w:rPr>
          <w:rFonts w:ascii="Times New Roman"/>
          <w:position w:val="6"/>
          <w:sz w:val="12"/>
        </w:rPr>
        <w:t xml:space="preserve">45 </w:t>
      </w:r>
      <w:r>
        <w:rPr>
          <w:rFonts w:ascii="Times New Roman"/>
          <w:sz w:val="18"/>
        </w:rPr>
        <w:t xml:space="preserve">Housing and Municipal Affairs. (2022). Improved processes will help renters, landlords. Victoria: Government of British Columbia. </w:t>
      </w:r>
      <w:hyperlink r:id="rId80">
        <w:r>
          <w:rPr>
            <w:rFonts w:ascii="Times New Roman"/>
            <w:color w:val="0000FF"/>
            <w:sz w:val="18"/>
            <w:u w:val="single" w:color="0000FF"/>
          </w:rPr>
          <w:t>https://news.gov.bc.ca/releases/2022HOUS0071-001946</w:t>
        </w:r>
      </w:hyperlink>
    </w:p>
    <w:p w14:paraId="639F7A89" w14:textId="77777777" w:rsidR="00CA13B6" w:rsidRDefault="00CA13B6" w:rsidP="00CA13B6">
      <w:pPr>
        <w:ind w:left="100" w:right="531"/>
        <w:rPr>
          <w:rFonts w:ascii="Times New Roman"/>
          <w:sz w:val="18"/>
        </w:rPr>
      </w:pPr>
      <w:bookmarkStart w:id="52" w:name="_bookmark52"/>
      <w:bookmarkEnd w:id="52"/>
      <w:r>
        <w:rPr>
          <w:rFonts w:ascii="Times New Roman"/>
          <w:position w:val="6"/>
          <w:sz w:val="12"/>
        </w:rPr>
        <w:t xml:space="preserve">46 </w:t>
      </w:r>
      <w:r>
        <w:rPr>
          <w:rFonts w:ascii="Times New Roman"/>
          <w:sz w:val="18"/>
        </w:rPr>
        <w:t xml:space="preserve">Moore, L and Farrow, T. (2019). Investing in Justice: A Literature Review in Support of the Case for Improved Access (Report prepared for the Task Force on Justice). Toronto: Canadian Forum on Civil Justice. </w:t>
      </w:r>
      <w:hyperlink r:id="rId81">
        <w:r>
          <w:rPr>
            <w:rFonts w:ascii="Times New Roman"/>
            <w:color w:val="0000FF"/>
            <w:sz w:val="18"/>
            <w:u w:val="single" w:color="0000FF"/>
          </w:rPr>
          <w:t>https://cfcj-fcjc.org/wp-</w:t>
        </w:r>
      </w:hyperlink>
      <w:r>
        <w:rPr>
          <w:rFonts w:ascii="Times New Roman"/>
          <w:color w:val="0000FF"/>
          <w:sz w:val="18"/>
        </w:rPr>
        <w:t xml:space="preserve"> </w:t>
      </w:r>
      <w:hyperlink r:id="rId82">
        <w:r>
          <w:rPr>
            <w:rFonts w:ascii="Times New Roman"/>
            <w:color w:val="0000FF"/>
            <w:sz w:val="18"/>
            <w:u w:val="single" w:color="0000FF"/>
          </w:rPr>
          <w:t>content/uploads/Investing-in-Justice-A-Literature-Review-in-Support-of-the-Case-for-Improved-Access-by-Lisa-Moore-and-</w:t>
        </w:r>
      </w:hyperlink>
      <w:r>
        <w:rPr>
          <w:rFonts w:ascii="Times New Roman"/>
          <w:color w:val="0000FF"/>
          <w:sz w:val="18"/>
        </w:rPr>
        <w:t xml:space="preserve"> </w:t>
      </w:r>
      <w:hyperlink r:id="rId83">
        <w:r>
          <w:rPr>
            <w:rFonts w:ascii="Times New Roman"/>
            <w:color w:val="0000FF"/>
            <w:sz w:val="18"/>
            <w:u w:val="single" w:color="0000FF"/>
          </w:rPr>
          <w:t>Trevor-C-W-Farrow.pdf</w:t>
        </w:r>
      </w:hyperlink>
    </w:p>
    <w:p w14:paraId="782CCECE" w14:textId="77777777" w:rsidR="00CA13B6" w:rsidRDefault="00CA13B6" w:rsidP="00CA13B6">
      <w:pPr>
        <w:ind w:left="100" w:right="539"/>
        <w:rPr>
          <w:rFonts w:ascii="Times New Roman"/>
          <w:i/>
          <w:sz w:val="18"/>
        </w:rPr>
      </w:pPr>
      <w:bookmarkStart w:id="53" w:name="_bookmark53"/>
      <w:bookmarkEnd w:id="53"/>
      <w:r>
        <w:rPr>
          <w:rFonts w:ascii="Times New Roman"/>
          <w:position w:val="6"/>
          <w:sz w:val="12"/>
        </w:rPr>
        <w:t xml:space="preserve">47 </w:t>
      </w:r>
      <w:r>
        <w:rPr>
          <w:rFonts w:ascii="Times New Roman"/>
          <w:sz w:val="18"/>
        </w:rPr>
        <w:t xml:space="preserve">Kenley, M. (2023). Recommendations for Municipalities Focus: Extreme Heat and Rental Housing. Toronto: Advocacy Centre for Tenants Ontario, Canadian Environmental Law Association, and Low-Income Energy Network. </w:t>
      </w:r>
      <w:hyperlink r:id="rId84">
        <w:r w:rsidRPr="00B47AD6">
          <w:rPr>
            <w:rFonts w:ascii="Times New Roman"/>
            <w:color w:val="0000FF"/>
            <w:sz w:val="18"/>
            <w:u w:val="single" w:color="0000FF"/>
            <w:lang w:val="fr-CA"/>
          </w:rPr>
          <w:t>https://www.acto.ca/production/wp-content/uploads/2023/01/1488-Extreme_Heat_and_Rental_Housing_Recommendations.pdf</w:t>
        </w:r>
      </w:hyperlink>
      <w:bookmarkStart w:id="54" w:name="_bookmark54"/>
      <w:bookmarkEnd w:id="54"/>
      <w:r w:rsidRPr="00B47AD6">
        <w:rPr>
          <w:rFonts w:ascii="Times New Roman"/>
          <w:position w:val="6"/>
          <w:sz w:val="18"/>
          <w:lang w:val="fr-CA"/>
        </w:rPr>
        <w:t xml:space="preserve"> </w:t>
      </w:r>
      <w:r w:rsidRPr="00B47AD6">
        <w:rPr>
          <w:rFonts w:ascii="Times New Roman"/>
          <w:position w:val="6"/>
          <w:sz w:val="12"/>
          <w:lang w:val="fr-CA"/>
        </w:rPr>
        <w:t xml:space="preserve">48 </w:t>
      </w:r>
      <w:r w:rsidRPr="00B47AD6">
        <w:rPr>
          <w:rFonts w:ascii="Times New Roman"/>
          <w:sz w:val="18"/>
          <w:lang w:val="fr-CA"/>
        </w:rPr>
        <w:t xml:space="preserve">Quenneville, G. (July 10, 2023). </w:t>
      </w:r>
      <w:r>
        <w:rPr>
          <w:rFonts w:ascii="Times New Roman"/>
          <w:sz w:val="18"/>
        </w:rPr>
        <w:t xml:space="preserve">Ontario needs to better track heat-related deaths, advocates say. </w:t>
      </w:r>
      <w:r>
        <w:rPr>
          <w:rFonts w:ascii="Times New Roman"/>
          <w:i/>
          <w:sz w:val="18"/>
        </w:rPr>
        <w:t xml:space="preserve">CBC News. </w:t>
      </w:r>
      <w:hyperlink r:id="rId85">
        <w:r>
          <w:rPr>
            <w:rFonts w:ascii="Times New Roman"/>
            <w:i/>
            <w:color w:val="0000FF"/>
            <w:sz w:val="18"/>
            <w:u w:val="single" w:color="0000FF"/>
          </w:rPr>
          <w:t>https://www.cbc.ca/news/canada/ottawa/heated-related-deaths-statistics-ontario-coroner-1.6901159</w:t>
        </w:r>
      </w:hyperlink>
    </w:p>
    <w:p w14:paraId="6A06AA65" w14:textId="77777777" w:rsidR="00CA13B6" w:rsidRPr="00B47AD6" w:rsidRDefault="00CA13B6" w:rsidP="00CA13B6">
      <w:pPr>
        <w:ind w:left="100" w:right="802"/>
        <w:rPr>
          <w:rFonts w:ascii="Times New Roman"/>
          <w:sz w:val="18"/>
          <w:lang w:val="es-419"/>
        </w:rPr>
      </w:pPr>
      <w:bookmarkStart w:id="55" w:name="_bookmark55"/>
      <w:bookmarkEnd w:id="55"/>
      <w:r>
        <w:rPr>
          <w:rFonts w:ascii="Times New Roman"/>
          <w:position w:val="6"/>
          <w:sz w:val="12"/>
        </w:rPr>
        <w:t xml:space="preserve">49 </w:t>
      </w:r>
      <w:r>
        <w:rPr>
          <w:rFonts w:ascii="Times New Roman"/>
          <w:sz w:val="18"/>
        </w:rPr>
        <w:t xml:space="preserve">Canadian Environmental Law Association. (2023). Ontario to Provide Free Heat Pumps to Eligible Low-Income Electricity Users. </w:t>
      </w:r>
      <w:r w:rsidRPr="00B47AD6">
        <w:rPr>
          <w:rFonts w:ascii="Times New Roman"/>
          <w:sz w:val="18"/>
          <w:lang w:val="es-419"/>
        </w:rPr>
        <w:t xml:space="preserve">Toronto: CELA. </w:t>
      </w:r>
      <w:hyperlink r:id="rId86">
        <w:r w:rsidRPr="00B47AD6">
          <w:rPr>
            <w:rFonts w:ascii="Times New Roman"/>
            <w:color w:val="0000FF"/>
            <w:sz w:val="18"/>
            <w:u w:val="single" w:color="0000FF"/>
            <w:lang w:val="es-419"/>
          </w:rPr>
          <w:t>https://cela.ca/ontario-to-provide-free-heat-pumps/</w:t>
        </w:r>
      </w:hyperlink>
    </w:p>
    <w:p w14:paraId="1CC3E4BF" w14:textId="77777777" w:rsidR="00CA13B6" w:rsidRPr="00CA13B6" w:rsidRDefault="00CA13B6" w:rsidP="00CA13B6">
      <w:pPr>
        <w:ind w:left="100" w:right="648"/>
        <w:rPr>
          <w:rFonts w:ascii="Times New Roman"/>
          <w:sz w:val="18"/>
          <w:lang w:val="es-419"/>
        </w:rPr>
      </w:pPr>
      <w:bookmarkStart w:id="56" w:name="_bookmark56"/>
      <w:bookmarkEnd w:id="56"/>
      <w:r>
        <w:rPr>
          <w:rFonts w:ascii="Times New Roman"/>
          <w:position w:val="6"/>
          <w:sz w:val="12"/>
        </w:rPr>
        <w:t xml:space="preserve">50 </w:t>
      </w:r>
      <w:r>
        <w:rPr>
          <w:rFonts w:ascii="Times New Roman"/>
          <w:sz w:val="18"/>
        </w:rPr>
        <w:t xml:space="preserve">Stapleton, J, (Jan 5, 2024). Opinion: Welfare rates now $200 a month below the Harris cuts of 1995. </w:t>
      </w:r>
      <w:r w:rsidRPr="00CA13B6">
        <w:rPr>
          <w:rFonts w:ascii="Times New Roman"/>
          <w:i/>
          <w:sz w:val="18"/>
          <w:lang w:val="es-419"/>
        </w:rPr>
        <w:t xml:space="preserve">Toronto Star. </w:t>
      </w:r>
      <w:hyperlink r:id="rId87">
        <w:r w:rsidRPr="00CA13B6">
          <w:rPr>
            <w:rFonts w:ascii="Times New Roman"/>
            <w:color w:val="0000FF"/>
            <w:sz w:val="18"/>
            <w:u w:val="single" w:color="0000FF"/>
            <w:lang w:val="es-419"/>
          </w:rPr>
          <w:t>https://www.thestar.com/opinion/contributors/welfare-rates-now-200-a-month-below-the-harris-cuts-of-1995/article_06db734a-</w:t>
        </w:r>
      </w:hyperlink>
      <w:r w:rsidRPr="00CA13B6">
        <w:rPr>
          <w:rFonts w:ascii="Times New Roman"/>
          <w:color w:val="0000FF"/>
          <w:sz w:val="18"/>
          <w:lang w:val="es-419"/>
        </w:rPr>
        <w:t xml:space="preserve"> </w:t>
      </w:r>
      <w:hyperlink r:id="rId88">
        <w:r w:rsidRPr="00CA13B6">
          <w:rPr>
            <w:rFonts w:ascii="Times New Roman"/>
            <w:color w:val="0000FF"/>
            <w:sz w:val="18"/>
            <w:u w:val="single" w:color="0000FF"/>
            <w:lang w:val="es-419"/>
          </w:rPr>
          <w:t>ab33-11ee-ab89-23211679736c.html</w:t>
        </w:r>
      </w:hyperlink>
    </w:p>
    <w:p w14:paraId="222B3720" w14:textId="77777777" w:rsidR="00CA13B6" w:rsidRDefault="00CA13B6" w:rsidP="00CA13B6">
      <w:pPr>
        <w:ind w:left="100" w:right="887"/>
        <w:rPr>
          <w:rFonts w:ascii="Times New Roman"/>
          <w:i/>
          <w:sz w:val="18"/>
        </w:rPr>
      </w:pPr>
      <w:bookmarkStart w:id="57" w:name="_bookmark57"/>
      <w:bookmarkEnd w:id="57"/>
      <w:r>
        <w:rPr>
          <w:rFonts w:ascii="Times New Roman"/>
          <w:position w:val="6"/>
          <w:sz w:val="12"/>
        </w:rPr>
        <w:t xml:space="preserve">51 </w:t>
      </w:r>
      <w:r>
        <w:rPr>
          <w:rFonts w:ascii="Times New Roman"/>
          <w:sz w:val="18"/>
        </w:rPr>
        <w:t xml:space="preserve">Pinkerton, C., and Hauen, J. (Sept 26, 2024). Number of homeless OW, ODSP recipients has almost doubled in two years: government data. </w:t>
      </w:r>
      <w:r>
        <w:rPr>
          <w:rFonts w:ascii="Times New Roman"/>
          <w:i/>
          <w:sz w:val="18"/>
        </w:rPr>
        <w:t xml:space="preserve">The Trillium. </w:t>
      </w:r>
      <w:hyperlink r:id="rId89">
        <w:r>
          <w:rPr>
            <w:rFonts w:ascii="Times New Roman"/>
            <w:i/>
            <w:color w:val="0000FF"/>
            <w:sz w:val="18"/>
            <w:u w:val="single" w:color="0000FF"/>
          </w:rPr>
          <w:t>https://www.thetrillium.ca/news/social-services-and-society/number-of-homeless-ow-odsp-</w:t>
        </w:r>
      </w:hyperlink>
      <w:r>
        <w:rPr>
          <w:rFonts w:ascii="Times New Roman"/>
          <w:i/>
          <w:color w:val="0000FF"/>
          <w:sz w:val="18"/>
        </w:rPr>
        <w:t xml:space="preserve"> </w:t>
      </w:r>
      <w:hyperlink r:id="rId90">
        <w:r>
          <w:rPr>
            <w:rFonts w:ascii="Times New Roman"/>
            <w:i/>
            <w:color w:val="0000FF"/>
            <w:sz w:val="18"/>
            <w:u w:val="single" w:color="0000FF"/>
          </w:rPr>
          <w:t>recipients-has-almost-doubled-in-two-years-government-data-9577826</w:t>
        </w:r>
      </w:hyperlink>
    </w:p>
    <w:p w14:paraId="6EEE81E4" w14:textId="77777777" w:rsidR="00CA13B6" w:rsidRPr="00CA13B6" w:rsidRDefault="00CA13B6" w:rsidP="00CA13B6">
      <w:pPr>
        <w:ind w:left="100" w:right="648"/>
        <w:rPr>
          <w:rFonts w:ascii="Times New Roman"/>
          <w:sz w:val="18"/>
          <w:lang w:val="es-419"/>
        </w:rPr>
      </w:pPr>
      <w:bookmarkStart w:id="58" w:name="_bookmark58"/>
      <w:bookmarkEnd w:id="58"/>
      <w:r>
        <w:rPr>
          <w:rFonts w:ascii="Times New Roman"/>
          <w:position w:val="6"/>
          <w:sz w:val="12"/>
        </w:rPr>
        <w:t xml:space="preserve">52 </w:t>
      </w:r>
      <w:r>
        <w:rPr>
          <w:rFonts w:ascii="Times New Roman"/>
          <w:sz w:val="18"/>
        </w:rPr>
        <w:t xml:space="preserve">Stapleton, J, (Jan 5, 2024). Opinion: Welfare rates now $200 a month below the Harris cuts of 1995. </w:t>
      </w:r>
      <w:r w:rsidRPr="00CA13B6">
        <w:rPr>
          <w:rFonts w:ascii="Times New Roman"/>
          <w:i/>
          <w:sz w:val="18"/>
          <w:lang w:val="es-419"/>
        </w:rPr>
        <w:t xml:space="preserve">Toronto Star. </w:t>
      </w:r>
      <w:hyperlink r:id="rId91">
        <w:r w:rsidRPr="00CA13B6">
          <w:rPr>
            <w:rFonts w:ascii="Times New Roman"/>
            <w:color w:val="0000FF"/>
            <w:sz w:val="18"/>
            <w:u w:val="single" w:color="0000FF"/>
            <w:lang w:val="es-419"/>
          </w:rPr>
          <w:t>https://www.thestar.com/opinion/contributors/welfare-rates-now-200-a-month-below-the-harris-cuts-of-1995/article_06db734a-</w:t>
        </w:r>
      </w:hyperlink>
      <w:r w:rsidRPr="00CA13B6">
        <w:rPr>
          <w:rFonts w:ascii="Times New Roman"/>
          <w:color w:val="0000FF"/>
          <w:sz w:val="18"/>
          <w:lang w:val="es-419"/>
        </w:rPr>
        <w:t xml:space="preserve"> </w:t>
      </w:r>
      <w:hyperlink r:id="rId92">
        <w:r w:rsidRPr="00CA13B6">
          <w:rPr>
            <w:rFonts w:ascii="Times New Roman"/>
            <w:color w:val="0000FF"/>
            <w:sz w:val="18"/>
            <w:u w:val="single" w:color="0000FF"/>
            <w:lang w:val="es-419"/>
          </w:rPr>
          <w:t>ab33-11ee-ab89-23211679736c.html</w:t>
        </w:r>
      </w:hyperlink>
    </w:p>
    <w:p w14:paraId="4EF9FBAB" w14:textId="77777777" w:rsidR="00CA13B6" w:rsidRDefault="00CA13B6" w:rsidP="00CA13B6">
      <w:pPr>
        <w:ind w:left="100" w:right="2390"/>
        <w:rPr>
          <w:rFonts w:ascii="Times New Roman"/>
          <w:sz w:val="18"/>
        </w:rPr>
      </w:pPr>
      <w:bookmarkStart w:id="59" w:name="_bookmark59"/>
      <w:bookmarkEnd w:id="59"/>
      <w:r>
        <w:rPr>
          <w:rFonts w:ascii="Times New Roman"/>
          <w:position w:val="6"/>
          <w:sz w:val="12"/>
        </w:rPr>
        <w:t xml:space="preserve">53 </w:t>
      </w:r>
      <w:r>
        <w:rPr>
          <w:rFonts w:ascii="Times New Roman"/>
          <w:sz w:val="18"/>
        </w:rPr>
        <w:t xml:space="preserve">Income Security Advocacy Centre (ISAC). (2024). OW &amp; ODSP rates and the Ontario Child Benefit. </w:t>
      </w:r>
      <w:hyperlink r:id="rId93">
        <w:r>
          <w:rPr>
            <w:rFonts w:ascii="Times New Roman"/>
            <w:color w:val="0000FF"/>
            <w:sz w:val="18"/>
            <w:u w:val="single" w:color="0000FF"/>
          </w:rPr>
          <w:t>https://incomesecurity.org/wp-content/uploads/2024/07/July-2024-ODSP-and-OW-rates-and-OCB.pdf</w:t>
        </w:r>
      </w:hyperlink>
    </w:p>
    <w:p w14:paraId="6738A211" w14:textId="77777777" w:rsidR="00CA13B6" w:rsidRDefault="00CA13B6" w:rsidP="00CA13B6">
      <w:pPr>
        <w:ind w:left="100" w:right="811"/>
        <w:rPr>
          <w:rFonts w:ascii="Times New Roman"/>
          <w:sz w:val="18"/>
        </w:rPr>
      </w:pPr>
      <w:r>
        <w:rPr>
          <w:rFonts w:ascii="Times New Roman"/>
          <w:sz w:val="18"/>
        </w:rPr>
        <w:t xml:space="preserve">ISAC. (2025). Income Security Advocacy Centre Recommendations for Ontario Budget 2025. </w:t>
      </w:r>
      <w:hyperlink r:id="rId94">
        <w:r>
          <w:rPr>
            <w:rFonts w:ascii="Times New Roman"/>
            <w:color w:val="0000FF"/>
            <w:sz w:val="18"/>
            <w:u w:val="single" w:color="0000FF"/>
          </w:rPr>
          <w:t>https://incomesecurity.org/wp-</w:t>
        </w:r>
      </w:hyperlink>
      <w:r>
        <w:rPr>
          <w:rFonts w:ascii="Times New Roman"/>
          <w:color w:val="0000FF"/>
          <w:sz w:val="18"/>
        </w:rPr>
        <w:t xml:space="preserve"> </w:t>
      </w:r>
      <w:hyperlink r:id="rId95">
        <w:r>
          <w:rPr>
            <w:rFonts w:ascii="Times New Roman"/>
            <w:color w:val="0000FF"/>
            <w:sz w:val="18"/>
            <w:u w:val="single" w:color="0000FF"/>
          </w:rPr>
          <w:t>content/uploads/2025/01/ISAC-Recommendations-for-the-Ontario-2025-Budget.pdf</w:t>
        </w:r>
      </w:hyperlink>
    </w:p>
    <w:p w14:paraId="680DB10A" w14:textId="1CD71569" w:rsidR="004A067D" w:rsidRPr="00CA13B6" w:rsidRDefault="004A067D">
      <w:pPr>
        <w:ind w:left="100" w:right="811"/>
        <w:rPr>
          <w:rFonts w:ascii="Times New Roman"/>
          <w:sz w:val="18"/>
        </w:rPr>
      </w:pPr>
    </w:p>
    <w:sectPr w:rsidR="004A067D" w:rsidRPr="00CA13B6" w:rsidSect="0028413C">
      <w:pgSz w:w="12240" w:h="15840"/>
      <w:pgMar w:top="1500" w:right="920" w:bottom="1160" w:left="1340" w:header="0"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FADDD" w14:textId="77777777" w:rsidR="00103801" w:rsidRDefault="00103801">
      <w:r>
        <w:separator/>
      </w:r>
    </w:p>
  </w:endnote>
  <w:endnote w:type="continuationSeparator" w:id="0">
    <w:p w14:paraId="1217AE83" w14:textId="77777777" w:rsidR="00103801" w:rsidRDefault="0010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8C88" w14:textId="77777777" w:rsidR="004A067D" w:rsidRDefault="00103801">
    <w:pPr>
      <w:pStyle w:val="BodyText"/>
      <w:spacing w:line="14" w:lineRule="auto"/>
      <w:rPr>
        <w:sz w:val="20"/>
      </w:rPr>
    </w:pPr>
    <w:r>
      <w:rPr>
        <w:lang w:val="fr-CA"/>
      </w:rPr>
      <w:pict w14:anchorId="112305CB">
        <v:shapetype id="_x0000_t202" coordsize="21600,21600" o:spt="202" path="m,l,21600r21600,l21600,xe">
          <v:stroke joinstyle="miter"/>
          <v:path gradientshapeok="t" o:connecttype="rect"/>
        </v:shapetype>
        <v:shape id="_x0000_s1025" type="#_x0000_t202" style="position:absolute;margin-left:527.15pt;margin-top:732.55pt;width:16.1pt;height:13.05pt;z-index:-251658752;mso-position-horizontal-relative:page;mso-position-vertical-relative:page" filled="f" stroked="f">
          <v:textbox style="mso-next-textbox:#_x0000_s1025" inset="0,0,0,0">
            <w:txbxContent>
              <w:p w14:paraId="6765C75E" w14:textId="77777777" w:rsidR="004A067D" w:rsidRDefault="00E3418B">
                <w:pPr>
                  <w:spacing w:before="10"/>
                  <w:ind w:left="60"/>
                  <w:rPr>
                    <w:rFonts w:ascii="Times New Roman"/>
                    <w:sz w:val="20"/>
                  </w:rPr>
                </w:pPr>
                <w:r>
                  <w:rPr>
                    <w:lang w:val="fr-CA"/>
                  </w:rPr>
                  <w:fldChar w:fldCharType="begin"/>
                </w:r>
                <w:r>
                  <w:rPr>
                    <w:rFonts w:ascii="Times New Roman"/>
                    <w:sz w:val="20"/>
                    <w:lang w:val="fr-CA"/>
                  </w:rPr>
                  <w:instrText xml:space="preserve"> PAGE </w:instrText>
                </w:r>
                <w:r>
                  <w:rPr>
                    <w:lang w:val="fr-CA"/>
                  </w:rPr>
                  <w:fldChar w:fldCharType="separate"/>
                </w:r>
                <w:r>
                  <w:rPr>
                    <w:lang w:val="fr-CA"/>
                  </w:rPr>
                  <w:t>10</w:t>
                </w:r>
                <w:r>
                  <w:rPr>
                    <w:lang w:val="fr-CA"/>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803" w:type="dxa"/>
      <w:tblInd w:w="-355" w:type="dxa"/>
      <w:tblBorders>
        <w:top w:val="none" w:sz="0" w:space="0" w:color="auto"/>
        <w:left w:val="none" w:sz="0" w:space="0" w:color="auto"/>
        <w:bottom w:val="none" w:sz="0" w:space="0" w:color="auto"/>
        <w:right w:val="none" w:sz="0" w:space="0" w:color="auto"/>
        <w:insideH w:val="single" w:sz="12" w:space="0" w:color="auto"/>
        <w:insideV w:val="single" w:sz="12" w:space="0" w:color="A1C1E6"/>
      </w:tblBorders>
      <w:tblLayout w:type="fixed"/>
      <w:tblCellMar>
        <w:left w:w="0" w:type="dxa"/>
        <w:right w:w="0" w:type="dxa"/>
      </w:tblCellMar>
      <w:tblLook w:val="04A0" w:firstRow="1" w:lastRow="0" w:firstColumn="1" w:lastColumn="0" w:noHBand="0" w:noVBand="1"/>
    </w:tblPr>
    <w:tblGrid>
      <w:gridCol w:w="1953"/>
      <w:gridCol w:w="3087"/>
      <w:gridCol w:w="2763"/>
    </w:tblGrid>
    <w:tr w:rsidR="00D74827" w14:paraId="2CF830D4" w14:textId="77777777" w:rsidTr="00414AA8">
      <w:trPr>
        <w:trHeight w:val="533"/>
      </w:trPr>
      <w:tc>
        <w:tcPr>
          <w:tcW w:w="1953" w:type="dxa"/>
        </w:tcPr>
        <w:p w14:paraId="301C7B5B" w14:textId="77777777" w:rsidR="00D74827" w:rsidRDefault="00D74827">
          <w:pPr>
            <w:pStyle w:val="Footer"/>
            <w:rPr>
              <w:color w:val="055CA9"/>
              <w:sz w:val="24"/>
              <w:szCs w:val="24"/>
            </w:rPr>
          </w:pPr>
          <w:r w:rsidRPr="00D74827">
            <w:rPr>
              <w:color w:val="055CA9"/>
              <w:sz w:val="24"/>
              <w:szCs w:val="24"/>
            </w:rPr>
            <w:t>T: 416.597.5855</w:t>
          </w:r>
        </w:p>
        <w:p w14:paraId="275456A5" w14:textId="0118A72F" w:rsidR="00D74827" w:rsidRPr="00D74827" w:rsidRDefault="00D74827">
          <w:pPr>
            <w:pStyle w:val="Footer"/>
            <w:rPr>
              <w:color w:val="055CA9"/>
            </w:rPr>
          </w:pPr>
          <w:r w:rsidRPr="00D74827">
            <w:rPr>
              <w:color w:val="055CA9"/>
              <w:sz w:val="24"/>
              <w:szCs w:val="24"/>
            </w:rPr>
            <w:t>F: 416.597.5821</w:t>
          </w:r>
        </w:p>
      </w:tc>
      <w:tc>
        <w:tcPr>
          <w:tcW w:w="3087" w:type="dxa"/>
        </w:tcPr>
        <w:p w14:paraId="7F8CD1D9" w14:textId="77777777" w:rsidR="00D74827" w:rsidRDefault="00D74827" w:rsidP="00D74827">
          <w:pPr>
            <w:pStyle w:val="Footer"/>
            <w:ind w:left="146"/>
            <w:rPr>
              <w:color w:val="055CA9"/>
              <w:sz w:val="24"/>
              <w:szCs w:val="24"/>
            </w:rPr>
          </w:pPr>
          <w:r w:rsidRPr="00D74827">
            <w:rPr>
              <w:color w:val="055CA9"/>
              <w:sz w:val="24"/>
              <w:szCs w:val="24"/>
            </w:rPr>
            <w:t>www.acto.ca</w:t>
          </w:r>
        </w:p>
        <w:p w14:paraId="698CB24F" w14:textId="79963D28" w:rsidR="00D74827" w:rsidRPr="00D74827" w:rsidRDefault="00D74827" w:rsidP="00D74827">
          <w:pPr>
            <w:pStyle w:val="Footer"/>
            <w:ind w:left="146"/>
            <w:rPr>
              <w:color w:val="055CA9"/>
              <w:sz w:val="24"/>
              <w:szCs w:val="24"/>
            </w:rPr>
          </w:pPr>
          <w:r w:rsidRPr="00D74827">
            <w:rPr>
              <w:color w:val="055CA9"/>
              <w:sz w:val="24"/>
              <w:szCs w:val="24"/>
            </w:rPr>
            <w:t>Toll Free: 1.866.245.4182</w:t>
          </w:r>
        </w:p>
      </w:tc>
      <w:tc>
        <w:tcPr>
          <w:tcW w:w="2763" w:type="dxa"/>
        </w:tcPr>
        <w:p w14:paraId="4BE4A712" w14:textId="77777777" w:rsidR="00D74827" w:rsidRDefault="00D74827" w:rsidP="00D74827">
          <w:pPr>
            <w:pStyle w:val="Footer"/>
            <w:ind w:left="153"/>
            <w:rPr>
              <w:color w:val="055CA9"/>
              <w:sz w:val="24"/>
              <w:szCs w:val="24"/>
            </w:rPr>
          </w:pPr>
          <w:r w:rsidRPr="00D74827">
            <w:rPr>
              <w:color w:val="055CA9"/>
              <w:sz w:val="24"/>
              <w:szCs w:val="24"/>
            </w:rPr>
            <w:t>1500-55 University Ave.</w:t>
          </w:r>
        </w:p>
        <w:p w14:paraId="55A16DA5" w14:textId="15492BDB" w:rsidR="00D74827" w:rsidRPr="00D74827" w:rsidRDefault="00D74827" w:rsidP="00D74827">
          <w:pPr>
            <w:pStyle w:val="Footer"/>
            <w:tabs>
              <w:tab w:val="left" w:pos="1620"/>
            </w:tabs>
            <w:ind w:left="153"/>
            <w:rPr>
              <w:color w:val="055CA9"/>
              <w:sz w:val="24"/>
              <w:szCs w:val="24"/>
            </w:rPr>
          </w:pPr>
          <w:r w:rsidRPr="00D74827">
            <w:rPr>
              <w:color w:val="055CA9"/>
              <w:sz w:val="24"/>
              <w:szCs w:val="24"/>
            </w:rPr>
            <w:t xml:space="preserve">Toronto, ON </w:t>
          </w:r>
          <w:r>
            <w:rPr>
              <w:color w:val="055CA9"/>
              <w:sz w:val="24"/>
              <w:szCs w:val="24"/>
            </w:rPr>
            <w:tab/>
          </w:r>
          <w:r w:rsidRPr="00D74827">
            <w:rPr>
              <w:color w:val="055CA9"/>
              <w:sz w:val="24"/>
              <w:szCs w:val="24"/>
            </w:rPr>
            <w:t>M5J 2H7</w:t>
          </w:r>
        </w:p>
      </w:tc>
    </w:tr>
  </w:tbl>
  <w:p w14:paraId="186B2183" w14:textId="77777777" w:rsidR="00D74827" w:rsidRDefault="00D74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6028" w14:textId="77777777" w:rsidR="00103801" w:rsidRDefault="00103801">
      <w:r>
        <w:separator/>
      </w:r>
    </w:p>
  </w:footnote>
  <w:footnote w:type="continuationSeparator" w:id="0">
    <w:p w14:paraId="274AA5ED" w14:textId="77777777" w:rsidR="00103801" w:rsidRDefault="00103801">
      <w:r>
        <w:continuationSeparator/>
      </w:r>
    </w:p>
  </w:footnote>
  <w:footnote w:id="1">
    <w:p w14:paraId="0EA03B40" w14:textId="514344D3" w:rsidR="00B54CA4" w:rsidRPr="00B54CA4" w:rsidRDefault="00B54CA4" w:rsidP="00D914F5">
      <w:pPr>
        <w:pStyle w:val="FootnoteText"/>
        <w:spacing w:line="192" w:lineRule="auto"/>
        <w:rPr>
          <w:lang w:val="en-IN"/>
        </w:rPr>
      </w:pPr>
      <w:r>
        <w:rPr>
          <w:rStyle w:val="FootnoteReference"/>
        </w:rPr>
        <w:footnoteRef/>
      </w:r>
      <w:r w:rsidRPr="000A65D1">
        <w:rPr>
          <w:lang w:val="fr-FR"/>
        </w:rPr>
        <w:t xml:space="preserve"> </w:t>
      </w:r>
      <w:r w:rsidRPr="00994000">
        <w:rPr>
          <w:rFonts w:ascii="Calibri" w:hAnsi="Calibri"/>
          <w:sz w:val="22"/>
          <w:vertAlign w:val="superscript"/>
          <w:lang w:val="fr-CA"/>
        </w:rPr>
        <w:t>En s’appuyant sur les résultats d’un récent projet de recherche visant à cerner les obstacles auxquels se heurtent les victimes-survivantes de violence fondée sur le genre lorsqu’elles tentent d’obtenir un logement et de le stabiliser, l’ACTO met actuellement à l’essai un programme provincial pour combler ces lacunes. Ce programme est appuyé et financé par le ministère de la Justice. Au cours des trois prochaines années, l’ACTO et huit cliniques partenaires élaboreront et offriront une formation juridique, des services de conseil, de représentation et des services holistiques aux victimes-survivantes. Ces recommandations sont informées directement par le présent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ED5F" w14:textId="015317F4" w:rsidR="000A65D1" w:rsidRPr="000A65D1" w:rsidRDefault="00D74827" w:rsidP="00D74827">
    <w:pPr>
      <w:pStyle w:val="Header"/>
      <w:ind w:left="-594"/>
      <w:rPr>
        <w:sz w:val="2"/>
        <w:szCs w:val="2"/>
      </w:rPr>
    </w:pPr>
    <w:r>
      <w:rPr>
        <w:noProof/>
      </w:rPr>
      <w:drawing>
        <wp:inline distT="0" distB="0" distL="0" distR="0" wp14:anchorId="1C1584D8" wp14:editId="784103AF">
          <wp:extent cx="4232721" cy="1091371"/>
          <wp:effectExtent l="0" t="0" r="0" b="0"/>
          <wp:docPr id="100944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02955" name=""/>
                  <pic:cNvPicPr/>
                </pic:nvPicPr>
                <pic:blipFill>
                  <a:blip r:embed="rId1"/>
                  <a:stretch>
                    <a:fillRect/>
                  </a:stretch>
                </pic:blipFill>
                <pic:spPr>
                  <a:xfrm>
                    <a:off x="0" y="0"/>
                    <a:ext cx="4404190" cy="11355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57B30"/>
    <w:multiLevelType w:val="hybridMultilevel"/>
    <w:tmpl w:val="6C0C779E"/>
    <w:lvl w:ilvl="0" w:tplc="6486F772">
      <w:start w:val="1"/>
      <w:numFmt w:val="decimal"/>
      <w:lvlText w:val="%1."/>
      <w:lvlJc w:val="left"/>
      <w:pPr>
        <w:ind w:left="460" w:hanging="360"/>
        <w:jc w:val="right"/>
      </w:pPr>
      <w:rPr>
        <w:rFonts w:ascii="Arial" w:eastAsia="Arial" w:hAnsi="Arial" w:cs="Arial" w:hint="default"/>
        <w:b/>
        <w:bCs/>
        <w:spacing w:val="-3"/>
        <w:w w:val="100"/>
        <w:sz w:val="24"/>
        <w:szCs w:val="24"/>
        <w:lang w:val="en-US" w:eastAsia="en-US" w:bidi="en-US"/>
      </w:rPr>
    </w:lvl>
    <w:lvl w:ilvl="1" w:tplc="84E23DDA">
      <w:numFmt w:val="bullet"/>
      <w:lvlText w:val=""/>
      <w:lvlJc w:val="left"/>
      <w:pPr>
        <w:ind w:left="820" w:hanging="360"/>
      </w:pPr>
      <w:rPr>
        <w:rFonts w:ascii="Symbol" w:eastAsia="Symbol" w:hAnsi="Symbol" w:cs="Symbol" w:hint="default"/>
        <w:w w:val="100"/>
        <w:sz w:val="24"/>
        <w:szCs w:val="24"/>
        <w:lang w:val="en-US" w:eastAsia="en-US" w:bidi="en-US"/>
      </w:rPr>
    </w:lvl>
    <w:lvl w:ilvl="2" w:tplc="21D42BCC">
      <w:numFmt w:val="bullet"/>
      <w:lvlText w:val="•"/>
      <w:lvlJc w:val="left"/>
      <w:pPr>
        <w:ind w:left="820" w:hanging="360"/>
      </w:pPr>
      <w:rPr>
        <w:rFonts w:hint="default"/>
        <w:lang w:val="en-US" w:eastAsia="en-US" w:bidi="en-US"/>
      </w:rPr>
    </w:lvl>
    <w:lvl w:ilvl="3" w:tplc="842888BA">
      <w:numFmt w:val="bullet"/>
      <w:lvlText w:val="•"/>
      <w:lvlJc w:val="left"/>
      <w:pPr>
        <w:ind w:left="960" w:hanging="360"/>
      </w:pPr>
      <w:rPr>
        <w:rFonts w:hint="default"/>
        <w:lang w:val="en-US" w:eastAsia="en-US" w:bidi="en-US"/>
      </w:rPr>
    </w:lvl>
    <w:lvl w:ilvl="4" w:tplc="CB6A5402">
      <w:numFmt w:val="bullet"/>
      <w:lvlText w:val="•"/>
      <w:lvlJc w:val="left"/>
      <w:pPr>
        <w:ind w:left="2248" w:hanging="360"/>
      </w:pPr>
      <w:rPr>
        <w:rFonts w:hint="default"/>
        <w:lang w:val="en-US" w:eastAsia="en-US" w:bidi="en-US"/>
      </w:rPr>
    </w:lvl>
    <w:lvl w:ilvl="5" w:tplc="31CA8B74">
      <w:numFmt w:val="bullet"/>
      <w:lvlText w:val="•"/>
      <w:lvlJc w:val="left"/>
      <w:pPr>
        <w:ind w:left="3537" w:hanging="360"/>
      </w:pPr>
      <w:rPr>
        <w:rFonts w:hint="default"/>
        <w:lang w:val="en-US" w:eastAsia="en-US" w:bidi="en-US"/>
      </w:rPr>
    </w:lvl>
    <w:lvl w:ilvl="6" w:tplc="4F7A8708">
      <w:numFmt w:val="bullet"/>
      <w:lvlText w:val="•"/>
      <w:lvlJc w:val="left"/>
      <w:pPr>
        <w:ind w:left="4825" w:hanging="360"/>
      </w:pPr>
      <w:rPr>
        <w:rFonts w:hint="default"/>
        <w:lang w:val="en-US" w:eastAsia="en-US" w:bidi="en-US"/>
      </w:rPr>
    </w:lvl>
    <w:lvl w:ilvl="7" w:tplc="A1DCEE1E">
      <w:numFmt w:val="bullet"/>
      <w:lvlText w:val="•"/>
      <w:lvlJc w:val="left"/>
      <w:pPr>
        <w:ind w:left="6114" w:hanging="360"/>
      </w:pPr>
      <w:rPr>
        <w:rFonts w:hint="default"/>
        <w:lang w:val="en-US" w:eastAsia="en-US" w:bidi="en-US"/>
      </w:rPr>
    </w:lvl>
    <w:lvl w:ilvl="8" w:tplc="A6A822EC">
      <w:numFmt w:val="bullet"/>
      <w:lvlText w:val="•"/>
      <w:lvlJc w:val="left"/>
      <w:pPr>
        <w:ind w:left="7402" w:hanging="360"/>
      </w:pPr>
      <w:rPr>
        <w:rFonts w:hint="default"/>
        <w:lang w:val="en-US" w:eastAsia="en-US" w:bidi="en-US"/>
      </w:rPr>
    </w:lvl>
  </w:abstractNum>
  <w:abstractNum w:abstractNumId="1" w15:restartNumberingAfterBreak="0">
    <w:nsid w:val="30AE2D8E"/>
    <w:multiLevelType w:val="hybridMultilevel"/>
    <w:tmpl w:val="ADBEBEF4"/>
    <w:lvl w:ilvl="0" w:tplc="49723222">
      <w:numFmt w:val="bullet"/>
      <w:lvlText w:val=""/>
      <w:lvlJc w:val="left"/>
      <w:pPr>
        <w:ind w:left="820" w:hanging="360"/>
      </w:pPr>
      <w:rPr>
        <w:rFonts w:ascii="Symbol" w:eastAsia="Symbol" w:hAnsi="Symbol" w:cs="Symbol" w:hint="default"/>
        <w:w w:val="100"/>
        <w:sz w:val="24"/>
        <w:szCs w:val="24"/>
        <w:lang w:val="en-US" w:eastAsia="en-US" w:bidi="en-US"/>
      </w:rPr>
    </w:lvl>
    <w:lvl w:ilvl="1" w:tplc="8826ABD4">
      <w:numFmt w:val="bullet"/>
      <w:lvlText w:val="•"/>
      <w:lvlJc w:val="left"/>
      <w:pPr>
        <w:ind w:left="1600" w:hanging="360"/>
      </w:pPr>
      <w:rPr>
        <w:rFonts w:hint="default"/>
        <w:lang w:val="en-US" w:eastAsia="en-US" w:bidi="en-US"/>
      </w:rPr>
    </w:lvl>
    <w:lvl w:ilvl="2" w:tplc="5ECE882C">
      <w:numFmt w:val="bullet"/>
      <w:lvlText w:val="•"/>
      <w:lvlJc w:val="left"/>
      <w:pPr>
        <w:ind w:left="2531" w:hanging="360"/>
      </w:pPr>
      <w:rPr>
        <w:rFonts w:hint="default"/>
        <w:lang w:val="en-US" w:eastAsia="en-US" w:bidi="en-US"/>
      </w:rPr>
    </w:lvl>
    <w:lvl w:ilvl="3" w:tplc="603EBE94">
      <w:numFmt w:val="bullet"/>
      <w:lvlText w:val="•"/>
      <w:lvlJc w:val="left"/>
      <w:pPr>
        <w:ind w:left="3462" w:hanging="360"/>
      </w:pPr>
      <w:rPr>
        <w:rFonts w:hint="default"/>
        <w:lang w:val="en-US" w:eastAsia="en-US" w:bidi="en-US"/>
      </w:rPr>
    </w:lvl>
    <w:lvl w:ilvl="4" w:tplc="D58A880E">
      <w:numFmt w:val="bullet"/>
      <w:lvlText w:val="•"/>
      <w:lvlJc w:val="left"/>
      <w:pPr>
        <w:ind w:left="4393" w:hanging="360"/>
      </w:pPr>
      <w:rPr>
        <w:rFonts w:hint="default"/>
        <w:lang w:val="en-US" w:eastAsia="en-US" w:bidi="en-US"/>
      </w:rPr>
    </w:lvl>
    <w:lvl w:ilvl="5" w:tplc="E2B26BBA">
      <w:numFmt w:val="bullet"/>
      <w:lvlText w:val="•"/>
      <w:lvlJc w:val="left"/>
      <w:pPr>
        <w:ind w:left="5324" w:hanging="360"/>
      </w:pPr>
      <w:rPr>
        <w:rFonts w:hint="default"/>
        <w:lang w:val="en-US" w:eastAsia="en-US" w:bidi="en-US"/>
      </w:rPr>
    </w:lvl>
    <w:lvl w:ilvl="6" w:tplc="31F4AA96">
      <w:numFmt w:val="bullet"/>
      <w:lvlText w:val="•"/>
      <w:lvlJc w:val="left"/>
      <w:pPr>
        <w:ind w:left="6255" w:hanging="360"/>
      </w:pPr>
      <w:rPr>
        <w:rFonts w:hint="default"/>
        <w:lang w:val="en-US" w:eastAsia="en-US" w:bidi="en-US"/>
      </w:rPr>
    </w:lvl>
    <w:lvl w:ilvl="7" w:tplc="B6FECEEA">
      <w:numFmt w:val="bullet"/>
      <w:lvlText w:val="•"/>
      <w:lvlJc w:val="left"/>
      <w:pPr>
        <w:ind w:left="7186" w:hanging="360"/>
      </w:pPr>
      <w:rPr>
        <w:rFonts w:hint="default"/>
        <w:lang w:val="en-US" w:eastAsia="en-US" w:bidi="en-US"/>
      </w:rPr>
    </w:lvl>
    <w:lvl w:ilvl="8" w:tplc="86C22D48">
      <w:numFmt w:val="bullet"/>
      <w:lvlText w:val="•"/>
      <w:lvlJc w:val="left"/>
      <w:pPr>
        <w:ind w:left="8117" w:hanging="360"/>
      </w:pPr>
      <w:rPr>
        <w:rFonts w:hint="default"/>
        <w:lang w:val="en-US" w:eastAsia="en-US" w:bidi="en-US"/>
      </w:rPr>
    </w:lvl>
  </w:abstractNum>
  <w:abstractNum w:abstractNumId="2" w15:restartNumberingAfterBreak="0">
    <w:nsid w:val="3F573623"/>
    <w:multiLevelType w:val="hybridMultilevel"/>
    <w:tmpl w:val="FE42C1F4"/>
    <w:lvl w:ilvl="0" w:tplc="5FD28224">
      <w:start w:val="5"/>
      <w:numFmt w:val="decimal"/>
      <w:lvlText w:val="%1)"/>
      <w:lvlJc w:val="left"/>
      <w:pPr>
        <w:ind w:left="820" w:hanging="360"/>
        <w:jc w:val="right"/>
      </w:pPr>
      <w:rPr>
        <w:rFonts w:ascii="Arial" w:eastAsia="Arial" w:hAnsi="Arial" w:cs="Arial" w:hint="default"/>
        <w:b/>
        <w:bCs/>
        <w:spacing w:val="-3"/>
        <w:w w:val="100"/>
        <w:sz w:val="24"/>
        <w:szCs w:val="24"/>
        <w:vertAlign w:val="baseline"/>
        <w:lang w:val="en-US" w:eastAsia="en-US" w:bidi="en-US"/>
      </w:rPr>
    </w:lvl>
    <w:lvl w:ilvl="1" w:tplc="1122C718">
      <w:numFmt w:val="bullet"/>
      <w:lvlText w:val=""/>
      <w:lvlJc w:val="left"/>
      <w:pPr>
        <w:ind w:left="928" w:hanging="360"/>
      </w:pPr>
      <w:rPr>
        <w:rFonts w:ascii="Symbol" w:eastAsia="Symbol" w:hAnsi="Symbol" w:cs="Symbol" w:hint="default"/>
        <w:w w:val="100"/>
        <w:sz w:val="24"/>
        <w:szCs w:val="24"/>
        <w:lang w:val="en-US" w:eastAsia="en-US" w:bidi="en-US"/>
      </w:rPr>
    </w:lvl>
    <w:lvl w:ilvl="2" w:tplc="9382719A">
      <w:numFmt w:val="bullet"/>
      <w:lvlText w:val="•"/>
      <w:lvlJc w:val="left"/>
      <w:pPr>
        <w:ind w:left="1926" w:hanging="360"/>
      </w:pPr>
      <w:rPr>
        <w:rFonts w:hint="default"/>
        <w:lang w:val="en-US" w:eastAsia="en-US" w:bidi="en-US"/>
      </w:rPr>
    </w:lvl>
    <w:lvl w:ilvl="3" w:tplc="A3E04FE0">
      <w:numFmt w:val="bullet"/>
      <w:lvlText w:val="•"/>
      <w:lvlJc w:val="left"/>
      <w:pPr>
        <w:ind w:left="2933" w:hanging="360"/>
      </w:pPr>
      <w:rPr>
        <w:rFonts w:hint="default"/>
        <w:lang w:val="en-US" w:eastAsia="en-US" w:bidi="en-US"/>
      </w:rPr>
    </w:lvl>
    <w:lvl w:ilvl="4" w:tplc="A8068964">
      <w:numFmt w:val="bullet"/>
      <w:lvlText w:val="•"/>
      <w:lvlJc w:val="left"/>
      <w:pPr>
        <w:ind w:left="3940" w:hanging="360"/>
      </w:pPr>
      <w:rPr>
        <w:rFonts w:hint="default"/>
        <w:lang w:val="en-US" w:eastAsia="en-US" w:bidi="en-US"/>
      </w:rPr>
    </w:lvl>
    <w:lvl w:ilvl="5" w:tplc="33B2BA5E">
      <w:numFmt w:val="bullet"/>
      <w:lvlText w:val="•"/>
      <w:lvlJc w:val="left"/>
      <w:pPr>
        <w:ind w:left="4946" w:hanging="360"/>
      </w:pPr>
      <w:rPr>
        <w:rFonts w:hint="default"/>
        <w:lang w:val="en-US" w:eastAsia="en-US" w:bidi="en-US"/>
      </w:rPr>
    </w:lvl>
    <w:lvl w:ilvl="6" w:tplc="3BFA5832">
      <w:numFmt w:val="bullet"/>
      <w:lvlText w:val="•"/>
      <w:lvlJc w:val="left"/>
      <w:pPr>
        <w:ind w:left="5953" w:hanging="360"/>
      </w:pPr>
      <w:rPr>
        <w:rFonts w:hint="default"/>
        <w:lang w:val="en-US" w:eastAsia="en-US" w:bidi="en-US"/>
      </w:rPr>
    </w:lvl>
    <w:lvl w:ilvl="7" w:tplc="F84CFC64">
      <w:numFmt w:val="bullet"/>
      <w:lvlText w:val="•"/>
      <w:lvlJc w:val="left"/>
      <w:pPr>
        <w:ind w:left="6960" w:hanging="360"/>
      </w:pPr>
      <w:rPr>
        <w:rFonts w:hint="default"/>
        <w:lang w:val="en-US" w:eastAsia="en-US" w:bidi="en-US"/>
      </w:rPr>
    </w:lvl>
    <w:lvl w:ilvl="8" w:tplc="483ED688">
      <w:numFmt w:val="bullet"/>
      <w:lvlText w:val="•"/>
      <w:lvlJc w:val="left"/>
      <w:pPr>
        <w:ind w:left="7966" w:hanging="360"/>
      </w:pPr>
      <w:rPr>
        <w:rFonts w:hint="default"/>
        <w:lang w:val="en-US" w:eastAsia="en-US" w:bidi="en-US"/>
      </w:rPr>
    </w:lvl>
  </w:abstractNum>
  <w:abstractNum w:abstractNumId="3" w15:restartNumberingAfterBreak="0">
    <w:nsid w:val="6E96469B"/>
    <w:multiLevelType w:val="hybridMultilevel"/>
    <w:tmpl w:val="DB44754E"/>
    <w:lvl w:ilvl="0" w:tplc="8F96D0FA">
      <w:start w:val="1"/>
      <w:numFmt w:val="decimal"/>
      <w:lvlText w:val="%1)"/>
      <w:lvlJc w:val="left"/>
      <w:pPr>
        <w:ind w:left="820" w:hanging="360"/>
      </w:pPr>
      <w:rPr>
        <w:rFonts w:ascii="Arial" w:eastAsia="Arial" w:hAnsi="Arial" w:cs="Arial" w:hint="default"/>
        <w:b/>
        <w:bCs/>
        <w:spacing w:val="-3"/>
        <w:w w:val="100"/>
        <w:sz w:val="24"/>
        <w:szCs w:val="24"/>
        <w:lang w:val="en-US" w:eastAsia="en-US" w:bidi="en-US"/>
      </w:rPr>
    </w:lvl>
    <w:lvl w:ilvl="1" w:tplc="BF7C7A66">
      <w:numFmt w:val="bullet"/>
      <w:lvlText w:val="•"/>
      <w:lvlJc w:val="left"/>
      <w:pPr>
        <w:ind w:left="1736" w:hanging="360"/>
      </w:pPr>
      <w:rPr>
        <w:rFonts w:hint="default"/>
        <w:lang w:val="en-US" w:eastAsia="en-US" w:bidi="en-US"/>
      </w:rPr>
    </w:lvl>
    <w:lvl w:ilvl="2" w:tplc="0F966644">
      <w:numFmt w:val="bullet"/>
      <w:lvlText w:val="•"/>
      <w:lvlJc w:val="left"/>
      <w:pPr>
        <w:ind w:left="2652" w:hanging="360"/>
      </w:pPr>
      <w:rPr>
        <w:rFonts w:hint="default"/>
        <w:lang w:val="en-US" w:eastAsia="en-US" w:bidi="en-US"/>
      </w:rPr>
    </w:lvl>
    <w:lvl w:ilvl="3" w:tplc="CFAA3366">
      <w:numFmt w:val="bullet"/>
      <w:lvlText w:val="•"/>
      <w:lvlJc w:val="left"/>
      <w:pPr>
        <w:ind w:left="3568" w:hanging="360"/>
      </w:pPr>
      <w:rPr>
        <w:rFonts w:hint="default"/>
        <w:lang w:val="en-US" w:eastAsia="en-US" w:bidi="en-US"/>
      </w:rPr>
    </w:lvl>
    <w:lvl w:ilvl="4" w:tplc="3DD0D38C">
      <w:numFmt w:val="bullet"/>
      <w:lvlText w:val="•"/>
      <w:lvlJc w:val="left"/>
      <w:pPr>
        <w:ind w:left="4484" w:hanging="360"/>
      </w:pPr>
      <w:rPr>
        <w:rFonts w:hint="default"/>
        <w:lang w:val="en-US" w:eastAsia="en-US" w:bidi="en-US"/>
      </w:rPr>
    </w:lvl>
    <w:lvl w:ilvl="5" w:tplc="23585534">
      <w:numFmt w:val="bullet"/>
      <w:lvlText w:val="•"/>
      <w:lvlJc w:val="left"/>
      <w:pPr>
        <w:ind w:left="5400" w:hanging="360"/>
      </w:pPr>
      <w:rPr>
        <w:rFonts w:hint="default"/>
        <w:lang w:val="en-US" w:eastAsia="en-US" w:bidi="en-US"/>
      </w:rPr>
    </w:lvl>
    <w:lvl w:ilvl="6" w:tplc="2C80B006">
      <w:numFmt w:val="bullet"/>
      <w:lvlText w:val="•"/>
      <w:lvlJc w:val="left"/>
      <w:pPr>
        <w:ind w:left="6316" w:hanging="360"/>
      </w:pPr>
      <w:rPr>
        <w:rFonts w:hint="default"/>
        <w:lang w:val="en-US" w:eastAsia="en-US" w:bidi="en-US"/>
      </w:rPr>
    </w:lvl>
    <w:lvl w:ilvl="7" w:tplc="80081C12">
      <w:numFmt w:val="bullet"/>
      <w:lvlText w:val="•"/>
      <w:lvlJc w:val="left"/>
      <w:pPr>
        <w:ind w:left="7232" w:hanging="360"/>
      </w:pPr>
      <w:rPr>
        <w:rFonts w:hint="default"/>
        <w:lang w:val="en-US" w:eastAsia="en-US" w:bidi="en-US"/>
      </w:rPr>
    </w:lvl>
    <w:lvl w:ilvl="8" w:tplc="30D6F13C">
      <w:numFmt w:val="bullet"/>
      <w:lvlText w:val="•"/>
      <w:lvlJc w:val="left"/>
      <w:pPr>
        <w:ind w:left="8148" w:hanging="360"/>
      </w:pPr>
      <w:rPr>
        <w:rFonts w:hint="default"/>
        <w:lang w:val="en-US" w:eastAsia="en-US" w:bidi="en-US"/>
      </w:rPr>
    </w:lvl>
  </w:abstractNum>
  <w:abstractNum w:abstractNumId="4" w15:restartNumberingAfterBreak="0">
    <w:nsid w:val="727E1CB9"/>
    <w:multiLevelType w:val="hybridMultilevel"/>
    <w:tmpl w:val="1A3A7FA2"/>
    <w:lvl w:ilvl="0" w:tplc="D942454A">
      <w:numFmt w:val="bullet"/>
      <w:lvlText w:val=""/>
      <w:lvlJc w:val="left"/>
      <w:pPr>
        <w:ind w:left="820" w:hanging="360"/>
      </w:pPr>
      <w:rPr>
        <w:rFonts w:ascii="Symbol" w:eastAsia="Symbol" w:hAnsi="Symbol" w:cs="Symbol" w:hint="default"/>
        <w:w w:val="100"/>
        <w:sz w:val="24"/>
        <w:szCs w:val="24"/>
        <w:lang w:val="en-US" w:eastAsia="en-US" w:bidi="en-US"/>
      </w:rPr>
    </w:lvl>
    <w:lvl w:ilvl="1" w:tplc="842C106A">
      <w:numFmt w:val="bullet"/>
      <w:lvlText w:val="•"/>
      <w:lvlJc w:val="left"/>
      <w:pPr>
        <w:ind w:left="1736" w:hanging="360"/>
      </w:pPr>
      <w:rPr>
        <w:rFonts w:hint="default"/>
        <w:lang w:val="en-US" w:eastAsia="en-US" w:bidi="en-US"/>
      </w:rPr>
    </w:lvl>
    <w:lvl w:ilvl="2" w:tplc="1D360E60">
      <w:numFmt w:val="bullet"/>
      <w:lvlText w:val="•"/>
      <w:lvlJc w:val="left"/>
      <w:pPr>
        <w:ind w:left="2652" w:hanging="360"/>
      </w:pPr>
      <w:rPr>
        <w:rFonts w:hint="default"/>
        <w:lang w:val="en-US" w:eastAsia="en-US" w:bidi="en-US"/>
      </w:rPr>
    </w:lvl>
    <w:lvl w:ilvl="3" w:tplc="D4208530">
      <w:numFmt w:val="bullet"/>
      <w:lvlText w:val="•"/>
      <w:lvlJc w:val="left"/>
      <w:pPr>
        <w:ind w:left="3568" w:hanging="360"/>
      </w:pPr>
      <w:rPr>
        <w:rFonts w:hint="default"/>
        <w:lang w:val="en-US" w:eastAsia="en-US" w:bidi="en-US"/>
      </w:rPr>
    </w:lvl>
    <w:lvl w:ilvl="4" w:tplc="E976FEDA">
      <w:numFmt w:val="bullet"/>
      <w:lvlText w:val="•"/>
      <w:lvlJc w:val="left"/>
      <w:pPr>
        <w:ind w:left="4484" w:hanging="360"/>
      </w:pPr>
      <w:rPr>
        <w:rFonts w:hint="default"/>
        <w:lang w:val="en-US" w:eastAsia="en-US" w:bidi="en-US"/>
      </w:rPr>
    </w:lvl>
    <w:lvl w:ilvl="5" w:tplc="9E44022C">
      <w:numFmt w:val="bullet"/>
      <w:lvlText w:val="•"/>
      <w:lvlJc w:val="left"/>
      <w:pPr>
        <w:ind w:left="5400" w:hanging="360"/>
      </w:pPr>
      <w:rPr>
        <w:rFonts w:hint="default"/>
        <w:lang w:val="en-US" w:eastAsia="en-US" w:bidi="en-US"/>
      </w:rPr>
    </w:lvl>
    <w:lvl w:ilvl="6" w:tplc="AB0EE542">
      <w:numFmt w:val="bullet"/>
      <w:lvlText w:val="•"/>
      <w:lvlJc w:val="left"/>
      <w:pPr>
        <w:ind w:left="6316" w:hanging="360"/>
      </w:pPr>
      <w:rPr>
        <w:rFonts w:hint="default"/>
        <w:lang w:val="en-US" w:eastAsia="en-US" w:bidi="en-US"/>
      </w:rPr>
    </w:lvl>
    <w:lvl w:ilvl="7" w:tplc="981E28D6">
      <w:numFmt w:val="bullet"/>
      <w:lvlText w:val="•"/>
      <w:lvlJc w:val="left"/>
      <w:pPr>
        <w:ind w:left="7232" w:hanging="360"/>
      </w:pPr>
      <w:rPr>
        <w:rFonts w:hint="default"/>
        <w:lang w:val="en-US" w:eastAsia="en-US" w:bidi="en-US"/>
      </w:rPr>
    </w:lvl>
    <w:lvl w:ilvl="8" w:tplc="F47493C8">
      <w:numFmt w:val="bullet"/>
      <w:lvlText w:val="•"/>
      <w:lvlJc w:val="left"/>
      <w:pPr>
        <w:ind w:left="8148" w:hanging="360"/>
      </w:pPr>
      <w:rPr>
        <w:rFonts w:hint="default"/>
        <w:lang w:val="en-US" w:eastAsia="en-US" w:bidi="en-US"/>
      </w:rPr>
    </w:lvl>
  </w:abstractNum>
  <w:num w:numId="1" w16cid:durableId="1281760652">
    <w:abstractNumId w:val="1"/>
  </w:num>
  <w:num w:numId="2" w16cid:durableId="374542930">
    <w:abstractNumId w:val="2"/>
  </w:num>
  <w:num w:numId="3" w16cid:durableId="1905750452">
    <w:abstractNumId w:val="4"/>
  </w:num>
  <w:num w:numId="4" w16cid:durableId="1445349563">
    <w:abstractNumId w:val="3"/>
  </w:num>
  <w:num w:numId="5" w16cid:durableId="163012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A067D"/>
    <w:rsid w:val="0001319D"/>
    <w:rsid w:val="00020B3C"/>
    <w:rsid w:val="00034D1C"/>
    <w:rsid w:val="000759E6"/>
    <w:rsid w:val="00085B45"/>
    <w:rsid w:val="000A65D1"/>
    <w:rsid w:val="000D5A80"/>
    <w:rsid w:val="000F0B06"/>
    <w:rsid w:val="000F1B40"/>
    <w:rsid w:val="00103801"/>
    <w:rsid w:val="001862C9"/>
    <w:rsid w:val="001E50D9"/>
    <w:rsid w:val="001E7647"/>
    <w:rsid w:val="001F7F37"/>
    <w:rsid w:val="00233046"/>
    <w:rsid w:val="00265512"/>
    <w:rsid w:val="00274896"/>
    <w:rsid w:val="0028413C"/>
    <w:rsid w:val="002F2AF1"/>
    <w:rsid w:val="00313544"/>
    <w:rsid w:val="003604B2"/>
    <w:rsid w:val="003812F7"/>
    <w:rsid w:val="003C271D"/>
    <w:rsid w:val="0040040F"/>
    <w:rsid w:val="00414AA8"/>
    <w:rsid w:val="00453E65"/>
    <w:rsid w:val="00495003"/>
    <w:rsid w:val="004A067D"/>
    <w:rsid w:val="0052426D"/>
    <w:rsid w:val="00571B2A"/>
    <w:rsid w:val="005B7DFF"/>
    <w:rsid w:val="00655FAF"/>
    <w:rsid w:val="0067597E"/>
    <w:rsid w:val="00693A3F"/>
    <w:rsid w:val="006B4FB0"/>
    <w:rsid w:val="0070054B"/>
    <w:rsid w:val="00700A4E"/>
    <w:rsid w:val="007D7AC8"/>
    <w:rsid w:val="00813150"/>
    <w:rsid w:val="008317E9"/>
    <w:rsid w:val="0085081C"/>
    <w:rsid w:val="0086579E"/>
    <w:rsid w:val="00882AFF"/>
    <w:rsid w:val="008B4BC1"/>
    <w:rsid w:val="00915949"/>
    <w:rsid w:val="00937E1B"/>
    <w:rsid w:val="00963DF9"/>
    <w:rsid w:val="00994000"/>
    <w:rsid w:val="009C16E7"/>
    <w:rsid w:val="009F00EE"/>
    <w:rsid w:val="009F72BE"/>
    <w:rsid w:val="00A608AE"/>
    <w:rsid w:val="00A70AC4"/>
    <w:rsid w:val="00A95D9E"/>
    <w:rsid w:val="00B00AA1"/>
    <w:rsid w:val="00B51CD5"/>
    <w:rsid w:val="00B54816"/>
    <w:rsid w:val="00B54CA4"/>
    <w:rsid w:val="00B967CF"/>
    <w:rsid w:val="00BA055F"/>
    <w:rsid w:val="00BD3F07"/>
    <w:rsid w:val="00BF0CBF"/>
    <w:rsid w:val="00C133C8"/>
    <w:rsid w:val="00C641A1"/>
    <w:rsid w:val="00C724FA"/>
    <w:rsid w:val="00CA13B6"/>
    <w:rsid w:val="00CC68DA"/>
    <w:rsid w:val="00D2777D"/>
    <w:rsid w:val="00D70A24"/>
    <w:rsid w:val="00D74827"/>
    <w:rsid w:val="00D82C84"/>
    <w:rsid w:val="00D914F5"/>
    <w:rsid w:val="00D92C27"/>
    <w:rsid w:val="00D97753"/>
    <w:rsid w:val="00DE3190"/>
    <w:rsid w:val="00DE4F65"/>
    <w:rsid w:val="00E071CB"/>
    <w:rsid w:val="00E12F82"/>
    <w:rsid w:val="00E27E0E"/>
    <w:rsid w:val="00E3418B"/>
    <w:rsid w:val="00E57569"/>
    <w:rsid w:val="00E6369E"/>
    <w:rsid w:val="00E84D8C"/>
    <w:rsid w:val="00E91FEB"/>
    <w:rsid w:val="00EA013D"/>
    <w:rsid w:val="00F279EC"/>
    <w:rsid w:val="00F358A2"/>
    <w:rsid w:val="00F6301F"/>
    <w:rsid w:val="00FD5E6E"/>
    <w:rsid w:val="00FF61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E8F7730"/>
  <w15:docId w15:val="{ED4EFD36-E0DC-442A-BFD3-4EF189F4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0"/>
      <w:ind w:left="100"/>
      <w:outlineLvl w:val="0"/>
    </w:pPr>
    <w:rPr>
      <w:rFonts w:ascii="Cambria" w:eastAsia="Cambria" w:hAnsi="Cambria" w:cs="Cambria"/>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spacing w:before="2" w:line="230" w:lineRule="exact"/>
    </w:pPr>
    <w:rPr>
      <w:rFonts w:ascii="Century Gothic" w:eastAsia="Century Gothic" w:hAnsi="Century Gothic" w:cs="Century Gothic"/>
    </w:rPr>
  </w:style>
  <w:style w:type="paragraph" w:styleId="Header">
    <w:name w:val="header"/>
    <w:basedOn w:val="Normal"/>
    <w:link w:val="HeaderChar"/>
    <w:uiPriority w:val="99"/>
    <w:unhideWhenUsed/>
    <w:rsid w:val="00E57569"/>
    <w:pPr>
      <w:tabs>
        <w:tab w:val="center" w:pos="4680"/>
        <w:tab w:val="right" w:pos="9360"/>
      </w:tabs>
    </w:pPr>
  </w:style>
  <w:style w:type="character" w:customStyle="1" w:styleId="HeaderChar">
    <w:name w:val="Header Char"/>
    <w:basedOn w:val="DefaultParagraphFont"/>
    <w:link w:val="Header"/>
    <w:uiPriority w:val="99"/>
    <w:rsid w:val="00E57569"/>
    <w:rPr>
      <w:rFonts w:ascii="Arial" w:eastAsia="Arial" w:hAnsi="Arial" w:cs="Arial"/>
      <w:lang w:bidi="en-US"/>
    </w:rPr>
  </w:style>
  <w:style w:type="paragraph" w:styleId="Footer">
    <w:name w:val="footer"/>
    <w:basedOn w:val="Normal"/>
    <w:link w:val="FooterChar"/>
    <w:uiPriority w:val="99"/>
    <w:unhideWhenUsed/>
    <w:rsid w:val="00E57569"/>
    <w:pPr>
      <w:tabs>
        <w:tab w:val="center" w:pos="4680"/>
        <w:tab w:val="right" w:pos="9360"/>
      </w:tabs>
    </w:pPr>
  </w:style>
  <w:style w:type="character" w:customStyle="1" w:styleId="FooterChar">
    <w:name w:val="Footer Char"/>
    <w:basedOn w:val="DefaultParagraphFont"/>
    <w:link w:val="Footer"/>
    <w:uiPriority w:val="99"/>
    <w:rsid w:val="00E57569"/>
    <w:rPr>
      <w:rFonts w:ascii="Arial" w:eastAsia="Arial" w:hAnsi="Arial" w:cs="Arial"/>
      <w:lang w:bidi="en-US"/>
    </w:rPr>
  </w:style>
  <w:style w:type="paragraph" w:styleId="FootnoteText">
    <w:name w:val="footnote text"/>
    <w:basedOn w:val="Normal"/>
    <w:link w:val="FootnoteTextChar"/>
    <w:uiPriority w:val="99"/>
    <w:semiHidden/>
    <w:unhideWhenUsed/>
    <w:rsid w:val="00B54CA4"/>
    <w:rPr>
      <w:sz w:val="20"/>
      <w:szCs w:val="20"/>
    </w:rPr>
  </w:style>
  <w:style w:type="character" w:customStyle="1" w:styleId="FootnoteTextChar">
    <w:name w:val="Footnote Text Char"/>
    <w:basedOn w:val="DefaultParagraphFont"/>
    <w:link w:val="FootnoteText"/>
    <w:uiPriority w:val="99"/>
    <w:semiHidden/>
    <w:rsid w:val="00B54CA4"/>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B54CA4"/>
    <w:rPr>
      <w:vertAlign w:val="superscript"/>
    </w:rPr>
  </w:style>
  <w:style w:type="table" w:styleId="TableGrid">
    <w:name w:val="Table Grid"/>
    <w:basedOn w:val="TableNormal"/>
    <w:uiPriority w:val="39"/>
    <w:rsid w:val="000A6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A13B6"/>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dailybread.ca/wp-content/uploads/2025/10/WH-Single-Spread-29OCT2025.pdf" TargetMode="External"/><Relationship Id="rId21" Type="http://schemas.openxmlformats.org/officeDocument/2006/relationships/hyperlink" Target="https://www150.statcan.gc.ca/t1/tbl1/en/cv!recreate.action?pid=1110001801&amp;selectedNodeIds=1D2%2C1D10%2C1D14%2C1D21%2C1D31%2C1D66%2C1D116%2C1D123%2C1D134%2C1D154%2C1D184%2C1D187%2C1D190%2C5D1%2C5D2&amp;checkedLevels=0D1%2C1D1%2C2D1%2C3D1&amp;refPeriods=20180101%2C20220101&amp;dimensionLayouts=layout3%2Clayout3%2Clayout2%2Clayout2%2Clayout3%2Clayout2&amp;vectorDisplay=false" TargetMode="External"/><Relationship Id="rId34" Type="http://schemas.openxmlformats.org/officeDocument/2006/relationships/hyperlink" Target="https://chra-achru.ca/wp-content/uploads/2023/11/Community-Housing-and-Productivity-Study_final.pdf" TargetMode="External"/><Relationship Id="rId42" Type="http://schemas.openxmlformats.org/officeDocument/2006/relationships/hyperlink" Target="https://www.nodemovictions.ca/resources" TargetMode="External"/><Relationship Id="rId47" Type="http://schemas.openxmlformats.org/officeDocument/2006/relationships/hyperlink" Target="https://www.policyalternatives.ca/news-research/arguments-against-rent-control-dont-hold-upt-o-scrutiny/" TargetMode="External"/><Relationship Id="rId50" Type="http://schemas.openxmlformats.org/officeDocument/2006/relationships/hyperlink" Target="https://publications.gc.ca/collections/collection_2018/schl-cmhc/nh15/NH15-762-1994-eng.pdf" TargetMode="External"/><Relationship Id="rId55" Type="http://schemas.openxmlformats.org/officeDocument/2006/relationships/hyperlink" Target="https://www.amo.on.ca/sites/default/files/assets/DOCUMENTS/Reports/2025/2025-01-08-EndingChronicHomelessnessinOntario.pdf" TargetMode="External"/><Relationship Id="rId63" Type="http://schemas.openxmlformats.org/officeDocument/2006/relationships/hyperlink" Target="https://www.amo.on.ca/sites/default/files/assets/DOCUMENTS/Homelessness/2024/AMO_Homeless-Encampments-in-Ontario_2024-07-02.pdf" TargetMode="External"/><Relationship Id="rId68" Type="http://schemas.openxmlformats.org/officeDocument/2006/relationships/hyperlink" Target="https://www.acto.ca/for-tenants/landlord-and-tenant-board-frequently-asked-questions/" TargetMode="External"/><Relationship Id="rId76" Type="http://schemas.openxmlformats.org/officeDocument/2006/relationships/hyperlink" Target="https://tribunalwatch.ca/2025/the-landlord-and-tenant-board-annual-report-progress-but-still-a-long-way-to-go/" TargetMode="External"/><Relationship Id="rId84" Type="http://schemas.openxmlformats.org/officeDocument/2006/relationships/hyperlink" Target="https://www.acto.ca/production/wp-content/uploads/2023/01/1488-Extreme_Heat_and_Rental_Housing_Recommendations.pdf" TargetMode="External"/><Relationship Id="rId89" Type="http://schemas.openxmlformats.org/officeDocument/2006/relationships/hyperlink" Target="https://www.thetrillium.ca/news/social-services-and-society/number-of-homeless-ow-odsp-recipients-has-almost-doubled-in-two-years-government-data-9577826"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nationalpost.com/news/service-ontario-closures-staples-canada" TargetMode="External"/><Relationship Id="rId92" Type="http://schemas.openxmlformats.org/officeDocument/2006/relationships/hyperlink" Target="https://www.thestar.com/opinion/contributors/welfare-rates-now-200-a-month-below-the-harris-cuts-of-1995/article_06db734a-ab33-11ee-ab89-23211679736c.html" TargetMode="External"/><Relationship Id="rId2" Type="http://schemas.openxmlformats.org/officeDocument/2006/relationships/numbering" Target="numbering.xml"/><Relationship Id="rId16" Type="http://schemas.openxmlformats.org/officeDocument/2006/relationships/hyperlink" Target="https://www.amo.on.ca/sites/default/files/assets/DOCUMENTS/Reports/2026/MunisUnderPressure1YearUpdateReport2026-01-13.pdf" TargetMode="External"/><Relationship Id="rId29" Type="http://schemas.openxmlformats.org/officeDocument/2006/relationships/hyperlink" Target="https://www.thetrillium.ca/news/housing/the-ford-government-says-its-data-was-botched-so-how-many-people-are-homeless-in-ontario-9435686" TargetMode="External"/><Relationship Id="rId11" Type="http://schemas.openxmlformats.org/officeDocument/2006/relationships/hyperlink" Target="https://www.acto.ca/production/wp-content/uploads/2025/12/ISAC%E2%80%93ACTO-Joint-Recommendations-%E2%80%93-ON-Poverty-Reduction-Strategy.-November-2025.pdf" TargetMode="External"/><Relationship Id="rId24" Type="http://schemas.openxmlformats.org/officeDocument/2006/relationships/hyperlink" Target="https://www.acto.ca/a-new-poll-shows-the-majority-of-ontario-renters-are-having-to-choose-between-food-and-paying-their-rents-when-it-comes-to-housing-affordability-this-province-is-on-fire/" TargetMode="External"/><Relationship Id="rId32" Type="http://schemas.openxmlformats.org/officeDocument/2006/relationships/hyperlink" Target="https://globalnews.ca/news/11514954/ontario-housing-starts-down-2025/" TargetMode="External"/><Relationship Id="rId37" Type="http://schemas.openxmlformats.org/officeDocument/2006/relationships/hyperlink" Target="https://chra-achru.ca/wp-content/uploads/2023/11/Community-Housing-and-Productivity-Study_final.pdf" TargetMode="External"/><Relationship Id="rId40" Type="http://schemas.openxmlformats.org/officeDocument/2006/relationships/hyperlink" Target="https://www.cbc.ca/news/canada/housing-rent-evictions-ontario-1.7266000" TargetMode="External"/><Relationship Id="rId45" Type="http://schemas.openxmlformats.org/officeDocument/2006/relationships/hyperlink" Target="https://www.nodemovictions.ca/_files/ugd/25da92_0cf79e087ff74cb1a2a01362b86ae51f.pdf" TargetMode="External"/><Relationship Id="rId53" Type="http://schemas.openxmlformats.org/officeDocument/2006/relationships/hyperlink" Target="http://www.amo.on.ca/sites/default/files/assets/DOCUMENTS/Reports/2026/MunisUnderPressure1YearUpdateReport2026-01-" TargetMode="External"/><Relationship Id="rId58" Type="http://schemas.openxmlformats.org/officeDocument/2006/relationships/hyperlink" Target="https://www.thetrillium.ca/news/housing/the-ford-government-says-its-data-was-botched-so-how-many-people-are-homeless-in-ontario-9435686" TargetMode="External"/><Relationship Id="rId66" Type="http://schemas.openxmlformats.org/officeDocument/2006/relationships/hyperlink" Target="http://www.amo.on.ca/sites/default/files/assets/DOCUMENTS/Reports/2026/MunisUnderPressure1YearUpdateReport2026-01-" TargetMode="External"/><Relationship Id="rId74" Type="http://schemas.openxmlformats.org/officeDocument/2006/relationships/hyperlink" Target="https://tribunalsontario.ca/documents/TO/Tribunals_Ontario_2023-2024_Annual_Report.html" TargetMode="External"/><Relationship Id="rId79" Type="http://schemas.openxmlformats.org/officeDocument/2006/relationships/hyperlink" Target="https://www.collingwoodtoday.ca/local-news/ontarios-rental-enforcement-unit-investigates-a-fraction-of-calls-received-7639674" TargetMode="External"/><Relationship Id="rId87" Type="http://schemas.openxmlformats.org/officeDocument/2006/relationships/hyperlink" Target="https://www.thestar.com/opinion/contributors/welfare-rates-now-200-a-month-below-the-harris-cuts-of-1995/article_06db734a-ab33-11ee-ab89-23211679736c.html" TargetMode="External"/><Relationship Id="rId5" Type="http://schemas.openxmlformats.org/officeDocument/2006/relationships/webSettings" Target="webSettings.xml"/><Relationship Id="rId61" Type="http://schemas.openxmlformats.org/officeDocument/2006/relationships/hyperlink" Target="https://ontario.cmha.ca/news/cmha-election-monitor-supportive-housing-investment-strengthens-people-and-the-economy/" TargetMode="External"/><Relationship Id="rId82" Type="http://schemas.openxmlformats.org/officeDocument/2006/relationships/hyperlink" Target="https://cfcj-fcjc.org/wp-content/uploads/Investing-in-Justice-A-Literature-Review-in-Support-of-the-Case-for-Improved-Access-by-Lisa-Moore-and-Trevor-C-W-Farrow.pdf" TargetMode="External"/><Relationship Id="rId90" Type="http://schemas.openxmlformats.org/officeDocument/2006/relationships/hyperlink" Target="https://www.thetrillium.ca/news/social-services-and-society/number-of-homeless-ow-odsp-recipients-has-almost-doubled-in-two-years-government-data-9577826" TargetMode="External"/><Relationship Id="rId95" Type="http://schemas.openxmlformats.org/officeDocument/2006/relationships/hyperlink" Target="https://incomesecurity.org/wp-content/uploads/2025/01/ISAC-Recommendations-for-the-Ontario-2025-Budget.pdf" TargetMode="External"/><Relationship Id="rId19" Type="http://schemas.openxmlformats.org/officeDocument/2006/relationships/hyperlink" Target="https://www.thetrillium.ca/news/housing/the-ford-government-says-its-data-was-botched-so-how-many-people-are-homeless-in-ontario-9435686" TargetMode="External"/><Relationship Id="rId14" Type="http://schemas.openxmlformats.org/officeDocument/2006/relationships/hyperlink" Target="https://rentals.ca/national-rent-report" TargetMode="External"/><Relationship Id="rId22" Type="http://schemas.openxmlformats.org/officeDocument/2006/relationships/hyperlink" Target="https://www150.statcan.gc.ca/t1/tbl1/en/cv!recreate.action?pid=1110001801&amp;selectedNodeIds=1D2%2C1D10%2C1D14%2C1D21%2C1D31%2C1D66%2C1D116%2C1D123%2C1D134%2C1D154%2C1D184%2C1D187%2C1D190%2C5D1%2C5D2&amp;checkedLevels=0D1%2C1D1%2C2D1%2C3D1&amp;refPeriods=20180101%2C20220101&amp;dimensionLayouts=layout3%2Clayout3%2Clayout2%2Clayout2%2Clayout3%2Clayout2&amp;vectorDisplay=false" TargetMode="External"/><Relationship Id="rId27" Type="http://schemas.openxmlformats.org/officeDocument/2006/relationships/hyperlink" Target="https://www150.statcan.gc.ca/t1/tbl1/en/tv.action?pid=9810025401" TargetMode="External"/><Relationship Id="rId30" Type="http://schemas.openxmlformats.org/officeDocument/2006/relationships/hyperlink" Target="https://www.thetrillium.ca/news/housing/the-ford-government-says-its-data-was-botched-so-how-many-people-are-homeless-in-ontario-9435686" TargetMode="External"/><Relationship Id="rId35" Type="http://schemas.openxmlformats.org/officeDocument/2006/relationships/hyperlink" Target="https://chra-achru.ca/wp-content/uploads/2023/11/Community-Housing-and-Productivity-Study_final.pdf" TargetMode="External"/><Relationship Id="rId43" Type="http://schemas.openxmlformats.org/officeDocument/2006/relationships/hyperlink" Target="https://www.guelphtoday.com/local-news/guelph-residents-worried-their-homes-are-headed-for-demoviction-9998132" TargetMode="External"/><Relationship Id="rId48" Type="http://schemas.openxmlformats.org/officeDocument/2006/relationships/hyperlink" Target="https://eppdscrmssa01.blob.core.windows.net/cmhcprodcontainer/sf/project/archive/research_5/study-of-the-impacts-of-rent-control-policies.pdf" TargetMode="External"/><Relationship Id="rId56" Type="http://schemas.openxmlformats.org/officeDocument/2006/relationships/hyperlink" Target="https://www.amo.on.ca/sites/default/files/assets/DOCUMENTS/Reports/2025/2025-01-08-EndingChronicHomelessnessinOntario.pdf" TargetMode="External"/><Relationship Id="rId64" Type="http://schemas.openxmlformats.org/officeDocument/2006/relationships/hyperlink" Target="https://www.thetrillium.ca/news/housing/the-ford-government-says-its-data-was-botched-so-how-many-people-are-homeless-in-ontario-9435686" TargetMode="External"/><Relationship Id="rId69" Type="http://schemas.openxmlformats.org/officeDocument/2006/relationships/hyperlink" Target="https://www.acto.ca/for-tenants/landlord-and-tenant-board-frequently-asked-questions/" TargetMode="External"/><Relationship Id="rId77" Type="http://schemas.openxmlformats.org/officeDocument/2006/relationships/hyperlink" Target="https://realestatemagazine.ca/orea-calls-for-overhaul-of-broken-rental-system/" TargetMode="External"/><Relationship Id="rId8" Type="http://schemas.openxmlformats.org/officeDocument/2006/relationships/footer" Target="footer1.xml"/><Relationship Id="rId51" Type="http://schemas.openxmlformats.org/officeDocument/2006/relationships/hyperlink" Target="https://www150.statcan.gc.ca/t1/tbl1/en/tv.action?pid=4610008101" TargetMode="External"/><Relationship Id="rId72" Type="http://schemas.openxmlformats.org/officeDocument/2006/relationships/hyperlink" Target="https://fao-on.org/en/report/serviceontario/" TargetMode="External"/><Relationship Id="rId80" Type="http://schemas.openxmlformats.org/officeDocument/2006/relationships/hyperlink" Target="https://news.gov.bc.ca/releases/2022HOUS0071-001946" TargetMode="External"/><Relationship Id="rId85" Type="http://schemas.openxmlformats.org/officeDocument/2006/relationships/hyperlink" Target="https://www.cbc.ca/news/canada/ottawa/heated-related-deaths-statistics-ontario-coroner-1.6901159" TargetMode="External"/><Relationship Id="rId93" Type="http://schemas.openxmlformats.org/officeDocument/2006/relationships/hyperlink" Target="https://incomesecurity.org/wp-content/uploads/2024/07/July-2024-ODSP-and-OW-rates-and-OCB.pdf"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amo.on.ca/sites/default/files/assets/DOCUMENTS/Reports/2025/2025-01-08-EndingChronicHomelessnessinOntario.pdf" TargetMode="External"/><Relationship Id="rId25" Type="http://schemas.openxmlformats.org/officeDocument/2006/relationships/hyperlink" Target="https://www.acto.ca/a-new-poll-shows-the-majority-of-ontario-renters-are-having-to-choose-between-food-and-paying-their-rents-when-it-comes-to-housing-affordability-this-province-is-on-fire/" TargetMode="External"/><Relationship Id="rId33" Type="http://schemas.openxmlformats.org/officeDocument/2006/relationships/hyperlink" Target="https://globalnews.ca/news/11514954/ontario-housing-starts-down-2025/" TargetMode="External"/><Relationship Id="rId38" Type="http://schemas.openxmlformats.org/officeDocument/2006/relationships/hyperlink" Target="https://www.unitedwaygt.org/wp-content/uploads/2023/11/BAHH_Action_Plan_Final.pdf" TargetMode="External"/><Relationship Id="rId46" Type="http://schemas.openxmlformats.org/officeDocument/2006/relationships/hyperlink" Target="https://renovictionsto.com/reports/RenovictionsTO-AGIReport-Final.pdf" TargetMode="External"/><Relationship Id="rId59" Type="http://schemas.openxmlformats.org/officeDocument/2006/relationships/hyperlink" Target="https://www.thetrillium.ca/news/housing/the-ford-government-says-its-data-was-botched-so-how-many-people-are-homeless-in-ontario-9435686" TargetMode="External"/><Relationship Id="rId67" Type="http://schemas.openxmlformats.org/officeDocument/2006/relationships/hyperlink" Target="http://www.amo.on.ca/sites/default/files/assets/DOCUMENTS/Reports/2026/MunisUnderPressure1YearUpdateReport2026-01-" TargetMode="External"/><Relationship Id="rId20" Type="http://schemas.openxmlformats.org/officeDocument/2006/relationships/hyperlink" Target="https://www.thetrillium.ca/news/housing/the-ford-government-says-its-data-was-botched-so-how-many-people-are-homeless-in-ontario-9435686" TargetMode="External"/><Relationship Id="rId41" Type="http://schemas.openxmlformats.org/officeDocument/2006/relationships/hyperlink" Target="https://www.cbc.ca/player/play/video/1.6725138" TargetMode="External"/><Relationship Id="rId54" Type="http://schemas.openxmlformats.org/officeDocument/2006/relationships/hyperlink" Target="https://www.amo.on.ca/sites/default/files/assets/DOCUMENTS/Reports/2025/2025-01-08-EndingChronicHomelessnessinOntario.pdf" TargetMode="External"/><Relationship Id="rId62" Type="http://schemas.openxmlformats.org/officeDocument/2006/relationships/hyperlink" Target="https://www.amo.on.ca/sites/default/files/assets/DOCUMENTS/Homelessness/2024/AMO_Homeless-Encampments-in-Ontario_2024-07-02.pdf" TargetMode="External"/><Relationship Id="rId70" Type="http://schemas.openxmlformats.org/officeDocument/2006/relationships/hyperlink" Target="https://www.cbc.ca/news/canada/ottawa/serviceontario-closure-review-1.3619453" TargetMode="External"/><Relationship Id="rId75" Type="http://schemas.openxmlformats.org/officeDocument/2006/relationships/hyperlink" Target="https://tribunalsontario.ca/documents/TO/Tribunals_Ontario_2022-2023_Annual_Report.html" TargetMode="External"/><Relationship Id="rId83" Type="http://schemas.openxmlformats.org/officeDocument/2006/relationships/hyperlink" Target="https://cfcj-fcjc.org/wp-content/uploads/Investing-in-Justice-A-Literature-Review-in-Support-of-the-Case-for-Improved-Access-by-Lisa-Moore-and-Trevor-C-W-Farrow.pdf" TargetMode="External"/><Relationship Id="rId88" Type="http://schemas.openxmlformats.org/officeDocument/2006/relationships/hyperlink" Target="https://www.thestar.com/opinion/contributors/welfare-rates-now-200-a-month-below-the-harris-cuts-of-1995/article_06db734a-ab33-11ee-ab89-23211679736c.html" TargetMode="External"/><Relationship Id="rId91" Type="http://schemas.openxmlformats.org/officeDocument/2006/relationships/hyperlink" Target="https://www.thestar.com/opinion/contributors/welfare-rates-now-200-a-month-below-the-harris-cuts-of-1995/article_06db734a-ab33-11ee-ab89-23211679736c.html"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o.on.ca/sites/default/files/assets/DOCUMENTS/Reports/2026/MunisUnderPressure1YearUpdateReport2026-01-13.pdf" TargetMode="External"/><Relationship Id="rId23" Type="http://schemas.openxmlformats.org/officeDocument/2006/relationships/hyperlink" Target="https://www150.statcan.gc.ca/t1/tbl1/en/cv!recreate.action?pid=1110001801&amp;selectedNodeIds=1D2%2C1D10%2C1D14%2C1D21%2C1D31%2C1D66%2C1D116%2C1D123%2C1D134%2C1D154%2C1D184%2C1D187%2C1D190%2C5D1%2C5D2&amp;checkedLevels=0D1%2C1D1%2C2D1%2C3D1&amp;refPeriods=20180101%2C20220101&amp;dimensionLayouts=layout3%2Clayout3%2Clayout2%2Clayout2%2Clayout3%2Clayout2&amp;vectorDisplay=false" TargetMode="External"/><Relationship Id="rId28" Type="http://schemas.openxmlformats.org/officeDocument/2006/relationships/hyperlink" Target="https://www.auditor.on.ca/en/content/annualreports/arreports/en17/v1_314en17.pdf" TargetMode="External"/><Relationship Id="rId36" Type="http://schemas.openxmlformats.org/officeDocument/2006/relationships/hyperlink" Target="https://chra-achru.ca/wp-content/uploads/2023/11/Community-Housing-and-Productivity-Study_final.pdf" TargetMode="External"/><Relationship Id="rId49" Type="http://schemas.openxmlformats.org/officeDocument/2006/relationships/hyperlink" Target="https://eppdscrmssa01.blob.core.windows.net/cmhcprodcontainer/sf/project/archive/research_5/study-of-the-impacts-of-rent-control-policies.pdf" TargetMode="External"/><Relationship Id="rId57" Type="http://schemas.openxmlformats.org/officeDocument/2006/relationships/hyperlink" Target="https://www.amo.on.ca/sites/default/files/assets/DOCUMENTS/Reports/2025/2025-01-08-EndingChronicHomelessnessinOntario.pdf" TargetMode="External"/><Relationship Id="rId10" Type="http://schemas.openxmlformats.org/officeDocument/2006/relationships/footer" Target="footer2.xml"/><Relationship Id="rId31" Type="http://schemas.openxmlformats.org/officeDocument/2006/relationships/hyperlink" Target="https://globalnews.ca/news/11514954/ontario-housing-starts-down-2025/" TargetMode="External"/><Relationship Id="rId44" Type="http://schemas.openxmlformats.org/officeDocument/2006/relationships/hyperlink" Target="https://www.nodemovictions.ca/resources" TargetMode="External"/><Relationship Id="rId52" Type="http://schemas.openxmlformats.org/officeDocument/2006/relationships/hyperlink" Target="http://www.amo.on.ca/sites/default/files/assets/DOCUMENTS/Reports/2026/MunisUnderPressure1YearUpdateReport2026-01-" TargetMode="External"/><Relationship Id="rId60" Type="http://schemas.openxmlformats.org/officeDocument/2006/relationships/hyperlink" Target="https://ontario.cmha.ca/news/cmha-election-monitor-supportive-housing-investment-strengthens-people-and-the-economy/" TargetMode="External"/><Relationship Id="rId65" Type="http://schemas.openxmlformats.org/officeDocument/2006/relationships/hyperlink" Target="https://www.thetrillium.ca/news/housing/the-ford-government-says-its-data-was-botched-so-how-many-people-are-homeless-in-ontario-9435686" TargetMode="External"/><Relationship Id="rId73" Type="http://schemas.openxmlformats.org/officeDocument/2006/relationships/hyperlink" Target="https://tribunalsontario.ca/documents/TO/Tribunals_Ontario_2019-2020_Annual_Report_EN.pdf" TargetMode="External"/><Relationship Id="rId78" Type="http://schemas.openxmlformats.org/officeDocument/2006/relationships/hyperlink" Target="https://www.cbc.ca/news/canada/hamilton/rheu-enforcement-1.7048391" TargetMode="External"/><Relationship Id="rId81" Type="http://schemas.openxmlformats.org/officeDocument/2006/relationships/hyperlink" Target="https://cfcj-fcjc.org/wp-content/uploads/Investing-in-Justice-A-Literature-Review-in-Support-of-the-Case-for-Improved-Access-by-Lisa-Moore-and-Trevor-C-W-Farrow.pdf" TargetMode="External"/><Relationship Id="rId86" Type="http://schemas.openxmlformats.org/officeDocument/2006/relationships/hyperlink" Target="https://cela.ca/ontario-to-provide-free-heat-pumps/" TargetMode="External"/><Relationship Id="rId94" Type="http://schemas.openxmlformats.org/officeDocument/2006/relationships/hyperlink" Target="https://incomesecurity.org/wp-content/uploads/2025/01/ISAC-Recommendations-for-the-Ontario-2025-Budget.pdf"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150.statcan.gc.ca/t1/tbl1/en/tv.action?pid=9810024801" TargetMode="External"/><Relationship Id="rId18" Type="http://schemas.openxmlformats.org/officeDocument/2006/relationships/hyperlink" Target="https://www.amo.on.ca/sites/default/files/assets/DOCUMENTS/Reports/2025/2025-01-08-EndingChronicHomelessnessinOntario.pdf" TargetMode="External"/><Relationship Id="rId39" Type="http://schemas.openxmlformats.org/officeDocument/2006/relationships/hyperlink" Target="https://www.cbc.ca/news/canada/financialization-and-canadian-renters-1.63782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A52D4-020E-4B0A-A4D6-223608DB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23</Pages>
  <Words>13257</Words>
  <Characters>75570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Murphy (ACTO)</dc:creator>
  <cp:lastModifiedBy>User</cp:lastModifiedBy>
  <cp:revision>78</cp:revision>
  <dcterms:created xsi:type="dcterms:W3CDTF">2026-03-26T19:04:00Z</dcterms:created>
  <dcterms:modified xsi:type="dcterms:W3CDTF">2026-04-13T19:14:00Z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Microsoft® Word for Microsoft 365</vt:lpwstr>
  </property>
  <property fmtid="{D5CDD505-2E9C-101B-9397-08002B2CF9AE}" pid="4" name="LastSaved">
    <vt:filetime>2026-03-26T00:00:00Z</vt:filetime>
  </property>
</Properties>
</file>